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  <w:drawing>
          <wp:inline distT="0" distB="0" distL="0" distR="0">
            <wp:extent cx="523875" cy="65722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1286" r="517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/>
      </w:pPr>
      <w:r>
        <w:rPr>
          <w:rFonts w:cs="Times New Roman"/>
          <w:b/>
          <w:bCs/>
          <w:kern w:val="2"/>
          <w:sz w:val="28"/>
          <w:szCs w:val="28"/>
        </w:rPr>
        <w:t xml:space="preserve">СОВЕТ </w:t>
      </w:r>
      <w:r>
        <w:rPr>
          <w:rFonts w:eastAsia="Lucida Sans Unicode" w:cs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/>
      </w:pPr>
      <w:r>
        <w:rPr>
          <w:rFonts w:eastAsia="Lucida Sans Unicode" w:cs="Times New Roman"/>
          <w:b/>
          <w:sz w:val="28"/>
          <w:szCs w:val="28"/>
        </w:rPr>
        <w:t>ЛУГАНСКОЙ НАРОДНОЙ РЕСПУБЛИКИ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/>
      </w:pPr>
      <w:r>
        <w:rPr>
          <w:rFonts w:eastAsia="Lucida Sans Unicode" w:cs="Times New Roman"/>
          <w:b/>
          <w:sz w:val="28"/>
          <w:szCs w:val="28"/>
        </w:rPr>
        <w:t xml:space="preserve"> </w:t>
      </w:r>
      <w:r>
        <w:rPr>
          <w:rFonts w:eastAsia="Lucida Sans Unicode" w:cs="Times New Roman"/>
          <w:b/>
          <w:sz w:val="28"/>
          <w:szCs w:val="28"/>
        </w:rPr>
        <w:t>ПЕРВОГО СОЗЫВА</w:t>
      </w:r>
      <w:r>
        <w:rPr>
          <w:rFonts w:cs="Times New Roman"/>
          <w:i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XXXI ЗАСЕДАНИЕ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sz w:val="28"/>
          <w:szCs w:val="28"/>
        </w:rPr>
      </w:pPr>
      <w:r>
        <w:rPr>
          <w:rFonts w:eastAsia="Lucida Sans Unicode" w:cs="Times New Roman"/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>30 мая 2025 года                             г. Красный Луч                               № 5-31/25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Методики 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</w:pPr>
      <w:bookmarkStart w:id="0" w:name="_Hlk173936633"/>
      <w:bookmarkStart w:id="1" w:name="_Hlk180163238"/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2025 год </w:t>
      </w:r>
      <w:bookmarkEnd w:id="0"/>
      <w:bookmarkEnd w:id="1"/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="0" w:after="0"/>
        <w:ind w:left="0" w:right="0" w:firstLine="708"/>
        <w:contextualSpacing/>
        <w:jc w:val="both"/>
        <w:rPr/>
      </w:pPr>
      <w:r>
        <w:rPr>
          <w:rFonts w:cs="Times New Roman"/>
          <w:sz w:val="28"/>
          <w:szCs w:val="28"/>
        </w:rPr>
        <w:t xml:space="preserve">В соответствии с Конституцией Российской Федерации, </w:t>
      </w:r>
      <w:r>
        <w:rPr>
          <w:sz w:val="28"/>
          <w:szCs w:val="28"/>
        </w:rPr>
        <w:t>со</w:t>
      </w:r>
      <w:r>
        <w:rPr>
          <w:sz w:val="28"/>
          <w:szCs w:val="28"/>
          <w:lang w:bidi="ru-RU"/>
        </w:rPr>
        <w:t xml:space="preserve"> статьями 14, 49, 50, 51 Жилищного кодекса Российской Федерации, </w:t>
      </w:r>
      <w:r>
        <w:rPr>
          <w:rFonts w:cs="Times New Roman"/>
          <w:sz w:val="28"/>
          <w:szCs w:val="28"/>
          <w:lang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(с изменениями), </w:t>
      </w:r>
      <w:r>
        <w:rPr>
          <w:sz w:val="28"/>
          <w:szCs w:val="28"/>
          <w:lang w:bidi="ru-RU"/>
        </w:rPr>
        <w:t>Законом Л</w:t>
      </w:r>
      <w:r>
        <w:rPr>
          <w:sz w:val="28"/>
          <w:szCs w:val="28"/>
        </w:rPr>
        <w:t xml:space="preserve">уганской Народной Республики от 07.12.2023 № 22-I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 (с изменениями) </w:t>
      </w:r>
      <w:r>
        <w:rPr>
          <w:sz w:val="28"/>
          <w:szCs w:val="28"/>
          <w:lang w:bidi="ru-RU"/>
        </w:rPr>
        <w:t xml:space="preserve">и Методикой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изложенной в приложении к вышеуказанному закону, </w:t>
      </w:r>
      <w:r>
        <w:rPr>
          <w:rFonts w:cs="Times New Roman"/>
          <w:sz w:val="28"/>
          <w:szCs w:val="28"/>
          <w:lang w:bidi="ru-RU"/>
        </w:rPr>
        <w:t xml:space="preserve">Постановлением Правительства Луганской Народной Республики от 04.10.2024 № 209/24 </w:t>
      </w:r>
      <w:r>
        <w:rPr>
          <w:rFonts w:cs="Times New Roman"/>
          <w:bCs/>
          <w:sz w:val="28"/>
          <w:szCs w:val="28"/>
          <w:lang w:bidi="ru-RU"/>
        </w:rPr>
        <w:t>«</w:t>
      </w:r>
      <w:r>
        <w:rPr>
          <w:rFonts w:cs="Times New Roman"/>
          <w:sz w:val="28"/>
          <w:szCs w:val="28"/>
          <w:lang w:bidi="ru-RU"/>
        </w:rPr>
        <w:t xml:space="preserve">О некоторых вопросах, связанных с реализацией Закона Луганской Народной Республики 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найма»,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bidi="ru-RU"/>
        </w:rPr>
        <w:t>Уставом</w:t>
      </w:r>
      <w:r>
        <w:rPr>
          <w:rFonts w:eastAsia="Times New Roman" w:cs="Times New Roman"/>
          <w:b w:val="false"/>
          <w:bCs/>
          <w:color w:val="000000"/>
          <w:sz w:val="28"/>
          <w:szCs w:val="28"/>
          <w:lang w:bidi="ru-RU"/>
        </w:rPr>
        <w:t xml:space="preserve"> муниципального образования городской округ город Красный Луч Луганской Народной Республики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bidi="ru-RU"/>
        </w:rPr>
        <w:t xml:space="preserve">, принятым решением </w:t>
      </w:r>
      <w:r>
        <w:rPr>
          <w:rFonts w:eastAsia="MS Mincho" w:cs="Times New Roman"/>
          <w:b w:val="false"/>
          <w:bCs w:val="false"/>
          <w:color w:val="000000"/>
          <w:sz w:val="28"/>
          <w:szCs w:val="28"/>
          <w:lang w:bidi="ru-RU"/>
        </w:rPr>
        <w:t>Совета городского округа муниципальное образование городской округ город Красный Луч Луганской Народной  Республики  от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bidi="ru-RU"/>
        </w:rPr>
        <w:t xml:space="preserve"> 30.10.2023  № 5  (с изменениями)</w:t>
      </w:r>
      <w:r>
        <w:rPr>
          <w:sz w:val="28"/>
          <w:szCs w:val="28"/>
          <w:lang w:bidi="ru-RU"/>
        </w:rPr>
        <w:t xml:space="preserve">, </w:t>
      </w:r>
      <w:r>
        <w:rPr>
          <w:rFonts w:cs="Times New Roman"/>
          <w:sz w:val="28"/>
          <w:szCs w:val="28"/>
          <w:lang w:bidi="ru-RU"/>
        </w:rPr>
        <w:t xml:space="preserve">Совет городского </w:t>
      </w:r>
    </w:p>
    <w:p>
      <w:pPr>
        <w:pStyle w:val="NormalWeb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</w:r>
    </w:p>
    <w:p>
      <w:pPr>
        <w:pStyle w:val="NormalWeb"/>
        <w:spacing w:lineRule="auto" w:line="240" w:before="0" w:after="0"/>
        <w:ind w:left="0" w:right="0" w:hanging="0"/>
        <w:contextualSpacing/>
        <w:jc w:val="both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  <w:t>округа муниципальное образование городской округ город Красный Луч Луганской Народной Республики</w:t>
      </w:r>
    </w:p>
    <w:p>
      <w:pPr>
        <w:pStyle w:val="NormalWeb"/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</w:r>
    </w:p>
    <w:p>
      <w:pPr>
        <w:pStyle w:val="NormalWeb"/>
        <w:spacing w:lineRule="auto" w:line="276" w:before="57" w:after="57"/>
        <w:ind w:left="0" w:right="0" w:firstLine="708"/>
        <w:contextualSpacing/>
        <w:jc w:val="center"/>
        <w:rPr>
          <w:rFonts w:cs="Times New Roman"/>
          <w:b/>
          <w:i w:val="false"/>
          <w:i w:val="false"/>
          <w:iCs w:val="false"/>
          <w:sz w:val="28"/>
          <w:szCs w:val="28"/>
          <w:u w:val="none"/>
          <w:lang w:bidi="ru-RU"/>
        </w:rPr>
      </w:pPr>
      <w:r>
        <w:rPr>
          <w:rFonts w:cs="Times New Roman"/>
          <w:b/>
          <w:i w:val="false"/>
          <w:iCs w:val="false"/>
          <w:sz w:val="28"/>
          <w:szCs w:val="28"/>
          <w:u w:val="none"/>
          <w:lang w:bidi="ru-RU"/>
        </w:rPr>
        <w:t>РЕШИЛ:</w:t>
      </w:r>
    </w:p>
    <w:p>
      <w:pPr>
        <w:pStyle w:val="NormalWeb"/>
        <w:spacing w:lineRule="auto" w:line="240" w:before="0" w:after="0"/>
        <w:ind w:left="0" w:right="0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1. У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твердить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Методику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2025 год.</w:t>
      </w:r>
    </w:p>
    <w:p>
      <w:pPr>
        <w:pStyle w:val="NormalWeb"/>
        <w:spacing w:lineRule="auto" w:line="240"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 xml:space="preserve">2. Утвердить расчет порогового значения для принятия решения о признании граждан малоимущими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на 2025 год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</w:rPr>
        <w:t>(Приложение).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/>
          <w:sz w:val="28"/>
          <w:szCs w:val="28"/>
        </w:rPr>
        <w:t xml:space="preserve">3. </w:t>
      </w:r>
      <w:r>
        <w:rPr>
          <w:rFonts w:eastAsia="MS Mincho" w:cs="Times New Roman"/>
          <w:bCs/>
          <w:color w:val="000000"/>
          <w:sz w:val="28"/>
          <w:szCs w:val="28"/>
          <w:lang w:eastAsia="en-US" w:bidi="ru-RU"/>
        </w:rPr>
        <w:t>Официально обнародовать настоящее решение в</w:t>
      </w:r>
      <w:r>
        <w:rPr>
          <w:rFonts w:eastAsia="MS Mincho" w:cs="Times New Roman"/>
          <w:bCs/>
          <w:color w:val="000000"/>
          <w:sz w:val="28"/>
          <w:szCs w:val="28"/>
          <w:shd w:fill="FFFFFF" w:val="clear"/>
          <w:lang w:eastAsia="en-US" w:bidi="ru-RU"/>
        </w:rPr>
        <w:t xml:space="preserve"> сетевом издании «Луганский Информационный Центр» в рубрике «Документы»</w:t>
      </w:r>
      <w:r>
        <w:rPr>
          <w:rFonts w:eastAsia="MS Mincho" w:cs="Times New Roman"/>
          <w:bCs/>
          <w:color w:val="000000"/>
          <w:sz w:val="28"/>
          <w:szCs w:val="28"/>
          <w:lang w:eastAsia="en-US" w:bidi="ru-RU"/>
        </w:rPr>
        <w:t xml:space="preserve"> в информационно - телекоммуникационной сети «Интернет»</w:t>
      </w:r>
      <w:r>
        <w:rPr>
          <w:rFonts w:eastAsia="MS Mincho" w:cs="Times New Roman"/>
          <w:bCs/>
          <w:color w:val="000000"/>
          <w:sz w:val="28"/>
          <w:szCs w:val="28"/>
          <w:lang w:bidi="ru-RU"/>
        </w:rPr>
        <w:t xml:space="preserve"> и разместить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</w:t>
      </w:r>
      <w:r>
        <w:rPr>
          <w:rFonts w:eastAsia="MS Mincho;ＭＳ 明朝" w:cs="Times New Roman"/>
          <w:bCs/>
          <w:color w:val="000000"/>
          <w:sz w:val="28"/>
          <w:szCs w:val="28"/>
          <w:lang w:bidi="ru-RU"/>
        </w:rPr>
        <w:t>» (</w:t>
      </w:r>
      <w:hyperlink r:id="rId3">
        <w:r>
          <w:rPr>
            <w:rStyle w:val="-"/>
            <w:rFonts w:eastAsia="MS Mincho;ＭＳ 明朝"/>
            <w:bCs/>
            <w:sz w:val="28"/>
            <w:szCs w:val="28"/>
            <w:lang w:bidi="ru-RU"/>
          </w:rPr>
          <w:t>https://krasnyluch.su/</w:t>
        </w:r>
      </w:hyperlink>
      <w:r>
        <w:rPr>
          <w:rFonts w:eastAsia="MS Mincho;ＭＳ 明朝" w:cs="Times New Roman"/>
          <w:bCs/>
          <w:color w:val="000000"/>
          <w:sz w:val="28"/>
          <w:szCs w:val="28"/>
          <w:lang w:bidi="ru-RU"/>
        </w:rPr>
        <w:t>)</w:t>
      </w:r>
      <w:r>
        <w:rPr>
          <w:rFonts w:cs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eastAsia="ru-RU" w:bidi="ru-RU"/>
        </w:rPr>
      </w:pPr>
      <w:r>
        <w:rPr>
          <w:rFonts w:cs="Times New Roman"/>
          <w:sz w:val="28"/>
          <w:szCs w:val="28"/>
          <w:lang w:eastAsia="ru-RU" w:bidi="ru-RU"/>
        </w:rPr>
        <w:t>4. Настоящее решение вступает в силу с момента его подписания.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cs="Times New Roman"/>
          <w:lang w:eastAsia="ru-RU" w:bidi="ru-RU"/>
        </w:rPr>
      </w:pPr>
      <w:r>
        <w:rPr>
          <w:rFonts w:cs="Times New Roman"/>
          <w:lang w:eastAsia="ru-RU" w:bidi="ru-RU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cs="Times New Roman"/>
          <w:lang w:eastAsia="ru-RU" w:bidi="ru-RU"/>
        </w:rPr>
      </w:pPr>
      <w:r>
        <w:rPr>
          <w:rFonts w:cs="Times New Roman"/>
          <w:lang w:eastAsia="ru-RU" w:bidi="ru-RU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color w:val="000000"/>
          <w:sz w:val="28"/>
          <w:szCs w:val="28"/>
        </w:rPr>
        <w:t xml:space="preserve">Председатель Совета </w:t>
      </w:r>
      <w:r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>
      <w:pPr>
        <w:pStyle w:val="Normal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>
      <w:pPr>
        <w:pStyle w:val="Normal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городской округ город Красный Луч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                                        Д.Г. Погодин-Новиков</w:t>
      </w:r>
    </w:p>
    <w:p>
      <w:pPr>
        <w:pStyle w:val="Normal"/>
        <w:spacing w:lineRule="auto" w:line="276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widowControl/>
        <w:bidi w:val="0"/>
        <w:spacing w:lineRule="auto" w:line="240" w:before="280" w:after="280"/>
        <w:ind w:left="0" w:right="0" w:hanging="0"/>
        <w:contextualSpacing/>
        <w:jc w:val="left"/>
        <w:rPr/>
      </w:pPr>
      <w:r>
        <w:rPr>
          <w:sz w:val="28"/>
          <w:szCs w:val="28"/>
          <w:lang w:bidi="ru-RU"/>
        </w:rPr>
        <w:t xml:space="preserve">Глава </w:t>
      </w:r>
      <w:r>
        <w:rPr>
          <w:rFonts w:cs="Times New Roman"/>
          <w:i w:val="false"/>
          <w:iCs w:val="false"/>
          <w:sz w:val="28"/>
          <w:szCs w:val="28"/>
          <w:u w:val="none"/>
          <w:lang w:eastAsia="ru-RU" w:bidi="ru-RU"/>
        </w:rPr>
        <w:t xml:space="preserve">городского округа </w:t>
      </w:r>
    </w:p>
    <w:p>
      <w:pPr>
        <w:pStyle w:val="NormalWeb"/>
        <w:widowControl/>
        <w:bidi w:val="0"/>
        <w:spacing w:lineRule="auto" w:line="240" w:before="280" w:after="280"/>
        <w:ind w:left="0" w:right="0" w:hanging="0"/>
        <w:contextualSpacing/>
        <w:jc w:val="left"/>
        <w:rPr>
          <w:rFonts w:cs="Times New Roman"/>
          <w:i w:val="false"/>
          <w:i w:val="false"/>
          <w:iCs w:val="false"/>
          <w:sz w:val="28"/>
          <w:szCs w:val="28"/>
          <w:u w:val="none"/>
          <w:lang w:eastAsia="ru-RU" w:bidi="ru-RU"/>
        </w:rPr>
      </w:pPr>
      <w:r>
        <w:rPr>
          <w:rFonts w:cs="Times New Roman"/>
          <w:i w:val="false"/>
          <w:iCs w:val="false"/>
          <w:sz w:val="28"/>
          <w:szCs w:val="28"/>
          <w:u w:val="none"/>
          <w:lang w:eastAsia="ru-RU" w:bidi="ru-RU"/>
        </w:rPr>
        <w:t xml:space="preserve">муниципальное образование </w:t>
      </w:r>
    </w:p>
    <w:p>
      <w:pPr>
        <w:pStyle w:val="NormalWeb"/>
        <w:widowControl/>
        <w:bidi w:val="0"/>
        <w:spacing w:lineRule="auto" w:line="240" w:before="280" w:after="280"/>
        <w:ind w:left="0" w:right="0" w:hanging="0"/>
        <w:contextualSpacing/>
        <w:jc w:val="left"/>
        <w:rPr>
          <w:rFonts w:cs="Times New Roman"/>
          <w:i w:val="false"/>
          <w:i w:val="false"/>
          <w:iCs w:val="false"/>
          <w:sz w:val="28"/>
          <w:szCs w:val="28"/>
          <w:u w:val="none"/>
          <w:lang w:eastAsia="ru-RU" w:bidi="ru-RU"/>
        </w:rPr>
      </w:pPr>
      <w:r>
        <w:rPr>
          <w:rFonts w:cs="Times New Roman"/>
          <w:i w:val="false"/>
          <w:iCs w:val="false"/>
          <w:sz w:val="28"/>
          <w:szCs w:val="28"/>
          <w:u w:val="none"/>
          <w:lang w:eastAsia="ru-RU" w:bidi="ru-RU"/>
        </w:rPr>
        <w:t xml:space="preserve">городской округ город Красный Луч </w:t>
      </w:r>
    </w:p>
    <w:p>
      <w:pPr>
        <w:pStyle w:val="NormalWeb"/>
        <w:widowControl/>
        <w:bidi w:val="0"/>
        <w:spacing w:lineRule="auto" w:line="240" w:before="280" w:after="280"/>
        <w:ind w:left="0" w:right="0" w:hanging="0"/>
        <w:contextualSpacing/>
        <w:jc w:val="left"/>
        <w:rPr>
          <w:rFonts w:cs="Times New Roman"/>
          <w:i w:val="false"/>
          <w:i w:val="false"/>
          <w:iCs w:val="false"/>
          <w:sz w:val="28"/>
          <w:szCs w:val="28"/>
          <w:u w:val="none"/>
          <w:lang w:eastAsia="ru-RU" w:bidi="ru-RU"/>
        </w:rPr>
      </w:pPr>
      <w:r>
        <w:rPr>
          <w:rFonts w:cs="Times New Roman"/>
          <w:i w:val="false"/>
          <w:iCs w:val="false"/>
          <w:sz w:val="28"/>
          <w:szCs w:val="28"/>
          <w:u w:val="none"/>
          <w:lang w:eastAsia="ru-RU" w:bidi="ru-RU"/>
        </w:rPr>
        <w:t xml:space="preserve">Луганской Народной Республики </w:t>
        <w:tab/>
        <w:tab/>
        <w:tab/>
        <w:tab/>
        <w:t xml:space="preserve">              </w:t>
        <w:tab/>
        <w:t>С.В. Соловьев</w:t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left="5245" w:right="0" w:hanging="0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5245" w:right="0" w:hanging="0"/>
        <w:jc w:val="right"/>
        <w:outlineLvl w:val="1"/>
        <w:rPr/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>
      <w:pPr>
        <w:pStyle w:val="ConsPlusNormal"/>
        <w:numPr>
          <w:ilvl w:val="0"/>
          <w:numId w:val="0"/>
        </w:numPr>
        <w:spacing w:lineRule="auto" w:line="240"/>
        <w:ind w:left="5245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>городского округа</w:t>
      </w:r>
      <w:r>
        <w:rPr>
          <w:rFonts w:ascii="Times New Roman" w:hAnsi="Times New Roman"/>
          <w:i/>
          <w:color w:val="000000"/>
          <w:sz w:val="28"/>
          <w:szCs w:val="28"/>
          <w:u w:val="none"/>
          <w:lang w:bidi="ru-RU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 xml:space="preserve">муниципальное образование </w:t>
      </w:r>
    </w:p>
    <w:p>
      <w:pPr>
        <w:pStyle w:val="ConsPlusNormal"/>
        <w:numPr>
          <w:ilvl w:val="0"/>
          <w:numId w:val="0"/>
        </w:numPr>
        <w:spacing w:lineRule="auto" w:line="240"/>
        <w:ind w:left="5245" w:right="0" w:hanging="0"/>
        <w:jc w:val="right"/>
        <w:outlineLvl w:val="1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  <w:u w:val="none"/>
          <w:lang w:bidi="ru-RU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 xml:space="preserve">городской округ </w:t>
      </w:r>
    </w:p>
    <w:p>
      <w:pPr>
        <w:pStyle w:val="ConsPlusNormal"/>
        <w:numPr>
          <w:ilvl w:val="0"/>
          <w:numId w:val="0"/>
        </w:numPr>
        <w:spacing w:lineRule="auto" w:line="240"/>
        <w:ind w:left="5245" w:right="0" w:hanging="0"/>
        <w:jc w:val="right"/>
        <w:outlineLvl w:val="1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  <w:u w:val="none"/>
          <w:lang w:bidi="ru-RU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 xml:space="preserve">город Красный Луч </w:t>
      </w:r>
    </w:p>
    <w:p>
      <w:pPr>
        <w:pStyle w:val="ConsPlusNormal"/>
        <w:numPr>
          <w:ilvl w:val="0"/>
          <w:numId w:val="0"/>
        </w:numPr>
        <w:spacing w:lineRule="auto" w:line="360"/>
        <w:ind w:left="5245" w:right="0" w:hanging="0"/>
        <w:jc w:val="right"/>
        <w:outlineLvl w:val="1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  <w:u w:val="none"/>
          <w:lang w:bidi="ru-RU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>Луганской Народной Республики</w:t>
      </w:r>
    </w:p>
    <w:p>
      <w:pPr>
        <w:pStyle w:val="ConsPlusNormal"/>
        <w:numPr>
          <w:ilvl w:val="0"/>
          <w:numId w:val="0"/>
        </w:numPr>
        <w:spacing w:lineRule="auto" w:line="360"/>
        <w:ind w:left="5245" w:right="0" w:hanging="0"/>
        <w:jc w:val="right"/>
        <w:outlineLvl w:val="1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т 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30 мая 2025 года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5-31/25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МЕТОДИКА 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</w:t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2025 год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Расчетный показатель рыночной стоимости приобретения жилых помещений по норме предоставления жилых помещений муниципального жилищного фонда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по договорам социального найма рассчитывается по формуле: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СЖ = НП × РС × РЦ, где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НП – норма предоставления жилого помещения на одного члена семьи, согласно решению Совета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городского округа</w:t>
      </w:r>
      <w:r>
        <w:rPr>
          <w:rFonts w:ascii="Times New Roman" w:hAnsi="Times New Roman"/>
          <w:i/>
          <w:color w:val="000000"/>
          <w:sz w:val="28"/>
          <w:szCs w:val="28"/>
          <w:u w:val="none"/>
          <w:shd w:fill="auto" w:val="clear"/>
          <w:lang w:bidi="ru-RU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муниципальное образование городской округ город Красный Луч Луганской Народной Республики 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 xml:space="preserve">от        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>30 мая 2025 года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 xml:space="preserve"> № 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>4-31/25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>,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 xml:space="preserve"> в размере 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single"/>
          <w:shd w:fill="auto" w:val="clear"/>
          <w:lang w:bidi="ru-RU"/>
        </w:rPr>
        <w:t>12,50</w:t>
      </w:r>
      <w:r>
        <w:rPr>
          <w:rFonts w:ascii="Times New Roman" w:hAnsi="Times New Roman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 xml:space="preserve"> кв.м. общей площади жилого помещения на одного человека; 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РС – количество членов семьи; 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РЦ – средняя расчетная рыночная цена одного квадратного метра площади жилого помещения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Согласно При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ложению к Порядку определения норматива стоимости 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средней рыночной стоимости одного квадратного метра общей площади жилого помещения по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муниципальному образованию городской округ город 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Красный Луч Луганской Народной Республики, принятого постановлением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городского округа</w:t>
      </w: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муниципальное образование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городской округ город Красный Луч Луганской Народной Республики </w:t>
      </w: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8"/>
          <w:szCs w:val="28"/>
          <w:u w:val="none"/>
          <w:shd w:fill="auto" w:val="clear"/>
          <w:lang w:bidi="ru-RU"/>
        </w:rPr>
        <w:t xml:space="preserve">от 28 февраля                2025 года № П-101/25,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с</w:t>
      </w:r>
      <w:r>
        <w:rPr>
          <w:rFonts w:cs="Times New Roman" w:ascii="Times New Roman" w:hAnsi="Times New Roman"/>
          <w:sz w:val="28"/>
          <w:szCs w:val="28"/>
          <w:shd w:fill="FFFFFF" w:val="clear"/>
          <w:lang w:bidi="ru-RU"/>
        </w:rPr>
        <w:t>р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едняя рыночная стоимость одного квадратного метра общей площади жилого помещения составила 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  <w:lang w:bidi="ru-RU"/>
        </w:rPr>
        <w:t>—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bidi="ru-RU"/>
        </w:rPr>
        <w:t>30 939,00</w:t>
      </w:r>
      <w:r>
        <w:rPr>
          <w:rFonts w:ascii="Times New Roman" w:hAnsi="Times New Roman"/>
          <w:sz w:val="28"/>
          <w:szCs w:val="28"/>
          <w:lang w:bidi="ru-RU"/>
        </w:rPr>
        <w:t xml:space="preserve"> руб.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1) 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д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ля одиноко проживающего человека: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eastAsia="ru-RU" w:bidi="ru-RU"/>
        </w:rPr>
        <w:t>12,5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eastAsia="ru-RU"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  <w:lang w:eastAsia="ru-RU"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кв. м х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386 737,50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2)  на семью из двух человек: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25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773 475,00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3)  на семью из трех человек: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37,5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1 160 212,50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4)  на семью из четырех человек: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50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1 546 950,00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5)  на семью из пяти человек: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62,5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1 933 687,50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6)  на семью из шести человек: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75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2 320 425,00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7)  на семью из семи человек:</w:t>
      </w:r>
    </w:p>
    <w:p>
      <w:pPr>
        <w:pStyle w:val="ConsPlusNormal"/>
        <w:numPr>
          <w:ilvl w:val="0"/>
          <w:numId w:val="0"/>
        </w:numPr>
        <w:spacing w:lineRule="auto" w:line="240" w:before="63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87,5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2 707 162,50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1"/>
        <w:spacing w:lineRule="auto" w:line="24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1" w:leader="none"/>
        </w:tabs>
        <w:spacing w:lineRule="auto" w:line="240" w:before="0" w:after="0"/>
        <w:ind w:left="143" w:right="170" w:firstLine="705"/>
        <w:contextualSpacing w:val="false"/>
        <w:jc w:val="both"/>
        <w:rPr/>
      </w:pPr>
      <w:r>
        <w:rPr>
          <w:sz w:val="28"/>
        </w:rPr>
        <w:t xml:space="preserve">2. </w:t>
      </w:r>
      <w:r>
        <w:rPr>
          <w:sz w:val="28"/>
          <w:szCs w:val="28"/>
        </w:rPr>
        <w:t>Порог стоимости имущества принимается равным расчетному показателю рыночной стоимости жилого помещения СЖ.</w:t>
      </w:r>
    </w:p>
    <w:p>
      <w:pPr>
        <w:pStyle w:val="Style19"/>
        <w:spacing w:lineRule="auto" w:line="240"/>
        <w:ind w:left="143" w:right="185" w:firstLine="706"/>
        <w:rPr>
          <w:sz w:val="28"/>
          <w:szCs w:val="28"/>
        </w:rPr>
      </w:pPr>
      <w:r>
        <w:rPr>
          <w:sz w:val="28"/>
          <w:szCs w:val="28"/>
        </w:rPr>
        <w:t>Порог размера среднемесячного совокупного дохода, приходящегося на каждого члена семьи гражданина, определяется:</w:t>
      </w:r>
    </w:p>
    <w:p>
      <w:pPr>
        <w:pStyle w:val="Normal"/>
        <w:spacing w:lineRule="auto" w:line="240"/>
        <w:ind w:left="0"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ПД =  ( СЖ / ПН ) / РС + ПМ, где</w:t>
      </w:r>
    </w:p>
    <w:p>
      <w:pPr>
        <w:pStyle w:val="Normal"/>
        <w:spacing w:lineRule="auto" w:line="240"/>
        <w:ind w:left="0"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ПД – порог среднемесячного размера дохода, приходящегося на каждого члена семьи;</w:t>
      </w:r>
    </w:p>
    <w:p>
      <w:pPr>
        <w:pStyle w:val="Normal"/>
        <w:spacing w:lineRule="auto" w:line="240"/>
        <w:ind w:left="0" w:right="-1" w:firstLine="708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Ж – расчетный показатель рыночной стоимости приобретения жилого помещения по норме предоставления жилого помещения по договору социального найма; 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  <w:szCs w:val="28"/>
        </w:rPr>
        <w:t>ПН – установленный период накопления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</w:t>
      </w:r>
      <w:r>
        <w:rPr>
          <w:rFonts w:ascii="Times New Roman" w:hAnsi="Times New Roman"/>
          <w:color w:val="111111"/>
          <w:sz w:val="28"/>
          <w:szCs w:val="28"/>
          <w:shd w:fill="auto" w:val="clear"/>
        </w:rPr>
        <w:t>80 месяцев)</w:t>
      </w:r>
      <w:r>
        <w:rPr>
          <w:rFonts w:ascii="Times New Roman" w:hAnsi="Times New Roman"/>
          <w:color w:val="111111"/>
          <w:sz w:val="28"/>
          <w:szCs w:val="28"/>
        </w:rPr>
        <w:t>;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firstLine="709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РС – количество членов семьи; </w:t>
      </w:r>
    </w:p>
    <w:p>
      <w:pPr>
        <w:pStyle w:val="ConsPlusNormal"/>
        <w:numPr>
          <w:ilvl w:val="0"/>
          <w:numId w:val="0"/>
        </w:numPr>
        <w:spacing w:lineRule="auto" w:line="240" w:before="12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ПМ – среднемесячный минимальный уровень дохода на одного человека (прожиточный минимум установленный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Указом Главы Луганской Народной Республики от 15.09.2023 г. № УГ -507/23 «Об установлении на 2024 год величины прожиточного уровня на душу населения и по основным социально-демографическим группам населения Луганской Народной Республики») за 2024 год установлен в размере 14 526,00 руб.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</w:r>
    </w:p>
    <w:p>
      <w:pPr>
        <w:pStyle w:val="Normal"/>
        <w:shd w:val="clear" w:fill="FFFFFF"/>
        <w:spacing w:lineRule="auto" w:line="240" w:before="0" w:after="28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Учитывая все исходные данные, определяем размер порогового значения дохода, приходящегося на каждого члена семьи, в целях признания граждан малоимущими (ПД).</w:t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Приложение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решению Совета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 xml:space="preserve">городского 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>округа</w:t>
      </w:r>
      <w:r>
        <w:rPr>
          <w:rFonts w:ascii="Times New Roman" w:hAnsi="Times New Roman"/>
          <w:i/>
          <w:color w:val="000000"/>
          <w:sz w:val="28"/>
          <w:szCs w:val="28"/>
          <w:u w:val="none"/>
          <w:lang w:bidi="ru-RU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 xml:space="preserve">муниципальное образование 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right"/>
        <w:outlineLvl w:val="1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  <w:u w:val="none"/>
          <w:lang w:bidi="ru-RU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 xml:space="preserve">городской округ город Красный Луч </w:t>
      </w:r>
    </w:p>
    <w:p>
      <w:pPr>
        <w:pStyle w:val="ConsPlusNormal"/>
        <w:numPr>
          <w:ilvl w:val="0"/>
          <w:numId w:val="0"/>
        </w:numPr>
        <w:spacing w:lineRule="auto" w:line="360"/>
        <w:ind w:left="5245" w:right="0" w:hanging="0"/>
        <w:jc w:val="right"/>
        <w:outlineLvl w:val="1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  <w:u w:val="none"/>
          <w:lang w:bidi="ru-RU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lang w:bidi="ru-RU"/>
        </w:rPr>
        <w:t>Луганской Народной Республики</w:t>
      </w:r>
    </w:p>
    <w:p>
      <w:pPr>
        <w:pStyle w:val="ConsPlusNormal"/>
        <w:numPr>
          <w:ilvl w:val="0"/>
          <w:numId w:val="0"/>
        </w:numPr>
        <w:spacing w:lineRule="auto" w:line="360"/>
        <w:ind w:left="5245" w:right="0" w:hanging="0"/>
        <w:jc w:val="right"/>
        <w:outlineLvl w:val="1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т 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30 мая 2025 года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iCs/>
          <w:color w:val="000000"/>
          <w:sz w:val="28"/>
          <w:szCs w:val="28"/>
          <w:lang w:bidi="ru-RU"/>
        </w:rPr>
        <w:t>5-31/25</w:t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val="clear" w:fill="FFFFFF"/>
        <w:spacing w:lineRule="auto" w:line="276" w:before="0" w:after="2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Расчет                                                                                                                       порогового значения дохода, приходящегося на каждого члена семьи или одиноко проживающего гражданина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2"/>
        <w:gridCol w:w="912"/>
        <w:gridCol w:w="1284"/>
        <w:gridCol w:w="1086"/>
        <w:gridCol w:w="1139"/>
        <w:gridCol w:w="1307"/>
        <w:gridCol w:w="1461"/>
      </w:tblGrid>
      <w:tr>
        <w:trPr>
          <w:trHeight w:val="265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НП норма предоставления жилого помещения (кв. м)*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СЖ- рыночная стоимость приобретения жилого помещения (СЖ=НП × РС × РЦ) (руб.)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PC- количество членов семьи (чел.)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 xml:space="preserve">РЦ - рыночная цена 1 кв. м жилого </w:t>
            </w:r>
            <w:r>
              <w:rPr>
                <w:rFonts w:eastAsia="Times New Roman" w:cs="Times New Roman"/>
                <w:color w:val="auto"/>
                <w:sz w:val="22"/>
                <w:szCs w:val="22"/>
                <w:vertAlign w:val="subscript"/>
                <w:lang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помещения (руб.)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bidi="ar-SA"/>
              </w:rPr>
              <w:t>ПН  –  установленный период накопления (месяц)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ПМ — прожиточный минимум (руб.)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П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Д порог среднемесячного дохода на одного человека (руб.)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111111"/>
                <w:sz w:val="22"/>
                <w:szCs w:val="22"/>
                <w:u w:val="none"/>
                <w:em w:val="none"/>
                <w:lang w:bidi="ar-SA"/>
              </w:rPr>
              <w:t>П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111111"/>
                <w:sz w:val="22"/>
                <w:szCs w:val="22"/>
                <w:u w:val="none"/>
                <w:em w:val="none"/>
              </w:rPr>
              <w:t>Д порог среднемесячного дохода на семью (руб.)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 xml:space="preserve">386 737,50 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25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>773 475,00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33 349,08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37,5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 xml:space="preserve">1 160 212,50 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50 023,62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>1 546 950,00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66 698,16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62,5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 xml:space="preserve">1 933 687,50 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83 372,70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 xml:space="preserve">2 320 425,00 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100 047,24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87,5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outlineLvl w:val="1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u w:val="none"/>
                <w:lang w:eastAsia="ru-RU" w:bidi="ru-RU"/>
              </w:rPr>
              <w:t>2 707 162,50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3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fill="auto" w:val="clear"/>
                <w:lang w:bidi="ar-SA"/>
              </w:rPr>
              <w:t>14 526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16 674,54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116 721,78</w:t>
            </w:r>
          </w:p>
        </w:tc>
      </w:tr>
    </w:tbl>
    <w:p>
      <w:pPr>
        <w:pStyle w:val="ConsPlusNormal"/>
        <w:numPr>
          <w:ilvl w:val="0"/>
          <w:numId w:val="0"/>
        </w:numPr>
        <w:spacing w:lineRule="auto" w:line="276" w:before="120" w:after="12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Style18"/>
    <w:next w:val="Style1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-">
    <w:name w:val="Hyperlink"/>
    <w:rPr>
      <w:color w:val="0563C1"/>
      <w:u w:val="single"/>
    </w:rPr>
  </w:style>
  <w:style w:type="character" w:styleId="Style16">
    <w:name w:val="Гипертекстовая ссылка"/>
    <w:basedOn w:val="DefaultParagraphFont"/>
    <w:qFormat/>
    <w:rPr>
      <w:color w:val="106BBE"/>
    </w:rPr>
  </w:style>
  <w:style w:type="character" w:styleId="Style17">
    <w:name w:val="FollowedHyperlink"/>
    <w:rPr>
      <w:color w:val="800000"/>
      <w:u w:val="single"/>
      <w:lang w:val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ahoma" w:cs="Calibri"/>
      <w:b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3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Абзац списка с отступом"/>
    <w:basedOn w:val="Normal"/>
    <w:qFormat/>
    <w:pPr>
      <w:spacing w:lineRule="auto" w:line="360" w:before="0" w:after="0"/>
      <w:ind w:left="0" w:right="0" w:firstLine="709"/>
      <w:jc w:val="both"/>
    </w:pPr>
    <w:rPr>
      <w:rFonts w:ascii="Times New Roman" w:hAnsi="Times New Roman" w:eastAsia="Calibri"/>
      <w:sz w:val="28"/>
      <w:lang w:eastAsia="en-US"/>
    </w:rPr>
  </w:style>
  <w:style w:type="paragraph" w:styleId="1">
    <w:name w:val="Основной текст1"/>
    <w:basedOn w:val="Normal"/>
    <w:qFormat/>
    <w:pPr>
      <w:spacing w:before="0" w:after="200"/>
      <w:ind w:left="0" w:right="0" w:firstLine="400"/>
    </w:pPr>
    <w:rPr>
      <w:rFonts w:ascii="Arial" w:hAnsi="Arial" w:eastAsia="Arial" w:cs="Arial"/>
      <w:color w:val="auto"/>
      <w:kern w:val="2"/>
      <w:sz w:val="20"/>
      <w:szCs w:val="20"/>
      <w:lang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rasnyluch.s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Application>LibreOffice/7.5.2.1$Linux_X86_64 LibreOffice_project/50$Build-1</Application>
  <AppVersion>15.0000</AppVersion>
  <Pages>6</Pages>
  <Words>1129</Words>
  <Characters>6910</Characters>
  <CharactersWithSpaces>8253</CharactersWithSpaces>
  <Paragraphs>145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2024-11-01T10:16:00Z</dcterms:created>
  <dc:creator>User</dc:creator>
  <dc:description/>
  <dc:language>ru-RU</dc:language>
  <cp:lastModifiedBy/>
  <cp:lastPrinted>2025-05-29T09:36:00Z</cp:lastPrinted>
  <dcterms:modified xsi:type="dcterms:W3CDTF">2025-05-29T09:36:14Z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