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1" w:rsidRDefault="00800351" w:rsidP="006B1CA2">
      <w:pPr>
        <w:jc w:val="center"/>
        <w:rPr>
          <w:b/>
          <w:sz w:val="28"/>
          <w:szCs w:val="28"/>
        </w:rPr>
      </w:pPr>
    </w:p>
    <w:p w:rsidR="00800351" w:rsidRPr="00A8251B" w:rsidRDefault="00800351" w:rsidP="00800351">
      <w:pPr>
        <w:jc w:val="center"/>
        <w:rPr>
          <w:rFonts w:eastAsia="Lucida Sans Unicode"/>
          <w:b/>
          <w:sz w:val="28"/>
          <w:szCs w:val="28"/>
        </w:rPr>
      </w:pPr>
      <w:r w:rsidRPr="00A8251B">
        <w:rPr>
          <w:b/>
          <w:bCs/>
          <w:kern w:val="32"/>
          <w:sz w:val="28"/>
          <w:szCs w:val="28"/>
        </w:rPr>
        <w:t>ПОСТАНОВЛЕНИЕ</w:t>
      </w:r>
    </w:p>
    <w:p w:rsidR="00800351" w:rsidRDefault="00D36590" w:rsidP="00800351">
      <w:pPr>
        <w:keepNext/>
        <w:ind w:left="258"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800351" w:rsidRPr="00A8251B">
        <w:rPr>
          <w:b/>
          <w:sz w:val="28"/>
          <w:szCs w:val="28"/>
        </w:rPr>
        <w:t xml:space="preserve"> </w:t>
      </w:r>
      <w:r w:rsidR="00800351" w:rsidRPr="00A8251B">
        <w:rPr>
          <w:rFonts w:eastAsia="Lucida Sans Unicode"/>
          <w:b/>
          <w:color w:val="000000"/>
          <w:sz w:val="28"/>
          <w:szCs w:val="28"/>
        </w:rPr>
        <w:t>городского округа муниципальное образование</w:t>
      </w:r>
      <w:r w:rsidR="00800351">
        <w:rPr>
          <w:rFonts w:eastAsia="Lucida Sans Unicode"/>
          <w:b/>
          <w:color w:val="000000"/>
          <w:sz w:val="28"/>
          <w:szCs w:val="28"/>
        </w:rPr>
        <w:t xml:space="preserve"> </w:t>
      </w:r>
      <w:r w:rsidR="00800351" w:rsidRPr="00A8251B">
        <w:rPr>
          <w:rFonts w:eastAsia="Lucida Sans Unicode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B410E9" w:rsidRPr="00A8251B" w:rsidRDefault="00B410E9" w:rsidP="00800351">
      <w:pPr>
        <w:keepNext/>
        <w:ind w:left="258"/>
        <w:jc w:val="center"/>
        <w:outlineLvl w:val="6"/>
        <w:rPr>
          <w:rFonts w:eastAsia="Lucida Sans Unicode"/>
          <w:sz w:val="28"/>
          <w:szCs w:val="28"/>
        </w:rPr>
      </w:pPr>
    </w:p>
    <w:p w:rsidR="00800351" w:rsidRPr="00A8251B" w:rsidRDefault="00800351" w:rsidP="00800351">
      <w:pPr>
        <w:suppressAutoHyphens/>
        <w:ind w:left="-221"/>
        <w:jc w:val="both"/>
        <w:rPr>
          <w:rFonts w:eastAsia="Lucida Sans Unicode"/>
          <w:b/>
          <w:sz w:val="28"/>
          <w:szCs w:val="28"/>
        </w:rPr>
      </w:pPr>
    </w:p>
    <w:tbl>
      <w:tblPr>
        <w:tblW w:w="12187" w:type="dxa"/>
        <w:jc w:val="center"/>
        <w:tblLook w:val="04A0"/>
      </w:tblPr>
      <w:tblGrid>
        <w:gridCol w:w="703"/>
        <w:gridCol w:w="2842"/>
        <w:gridCol w:w="7455"/>
        <w:gridCol w:w="235"/>
        <w:gridCol w:w="952"/>
      </w:tblGrid>
      <w:tr w:rsidR="00800351" w:rsidRPr="00A8251B" w:rsidTr="00351145">
        <w:trPr>
          <w:cantSplit/>
          <w:trHeight w:val="60"/>
          <w:jc w:val="center"/>
        </w:trPr>
        <w:tc>
          <w:tcPr>
            <w:tcW w:w="703" w:type="dxa"/>
          </w:tcPr>
          <w:p w:rsidR="00800351" w:rsidRPr="00A8251B" w:rsidRDefault="00800351" w:rsidP="00800351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ind w:left="-221" w:firstLine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    </w:t>
            </w:r>
          </w:p>
        </w:tc>
        <w:tc>
          <w:tcPr>
            <w:tcW w:w="2842" w:type="dxa"/>
          </w:tcPr>
          <w:p w:rsidR="00800351" w:rsidRPr="00A8251B" w:rsidRDefault="00800351" w:rsidP="00CB0D14">
            <w:pPr>
              <w:pStyle w:val="a3"/>
              <w:suppressAutoHyphens/>
              <w:ind w:left="-368" w:right="-227" w:firstLine="284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  </w:t>
            </w:r>
            <w:r w:rsidR="00CB0D14">
              <w:rPr>
                <w:rFonts w:eastAsia="Lucida Sans Unicode"/>
                <w:sz w:val="28"/>
                <w:szCs w:val="28"/>
              </w:rPr>
              <w:t xml:space="preserve">       08 </w:t>
            </w:r>
            <w:r>
              <w:rPr>
                <w:rFonts w:eastAsia="Lucida Sans Unicode"/>
                <w:sz w:val="28"/>
                <w:szCs w:val="28"/>
              </w:rPr>
              <w:t xml:space="preserve"> </w:t>
            </w:r>
            <w:r w:rsidR="00CB0D14">
              <w:rPr>
                <w:rFonts w:eastAsia="Lucida Sans Unicode"/>
                <w:sz w:val="28"/>
                <w:szCs w:val="28"/>
              </w:rPr>
              <w:t>ноября</w:t>
            </w:r>
            <w:r>
              <w:rPr>
                <w:rFonts w:eastAsia="Lucida Sans Unicode"/>
                <w:sz w:val="28"/>
                <w:szCs w:val="28"/>
              </w:rPr>
              <w:t xml:space="preserve"> 2024 г.</w:t>
            </w:r>
          </w:p>
        </w:tc>
        <w:tc>
          <w:tcPr>
            <w:tcW w:w="7455" w:type="dxa"/>
          </w:tcPr>
          <w:p w:rsidR="00800351" w:rsidRPr="00C35B23" w:rsidRDefault="00800351" w:rsidP="00CB0D14">
            <w:pPr>
              <w:pStyle w:val="a3"/>
              <w:suppressAutoHyphens/>
              <w:ind w:left="298"/>
              <w:rPr>
                <w:rFonts w:eastAsia="Lucida Sans Unicode"/>
                <w:sz w:val="28"/>
                <w:szCs w:val="28"/>
              </w:rPr>
            </w:pPr>
            <w:r w:rsidRPr="00C35B23">
              <w:rPr>
                <w:rFonts w:eastAsia="Lucida Sans Unicode"/>
                <w:sz w:val="28"/>
                <w:szCs w:val="28"/>
              </w:rPr>
              <w:t xml:space="preserve">                                                                         </w:t>
            </w:r>
            <w:r w:rsidR="00A060A3">
              <w:rPr>
                <w:rFonts w:eastAsia="Lucida Sans Unicode"/>
                <w:sz w:val="28"/>
                <w:szCs w:val="28"/>
              </w:rPr>
              <w:t xml:space="preserve">  </w:t>
            </w:r>
            <w:r w:rsidRPr="00C35B23">
              <w:rPr>
                <w:rFonts w:eastAsia="Lucida Sans Unicode"/>
                <w:sz w:val="28"/>
                <w:szCs w:val="28"/>
              </w:rPr>
              <w:t xml:space="preserve">  № </w:t>
            </w:r>
            <w:r w:rsidR="00CB0D14">
              <w:rPr>
                <w:rFonts w:eastAsia="Lucida Sans Unicode"/>
                <w:sz w:val="28"/>
                <w:szCs w:val="28"/>
              </w:rPr>
              <w:t>П-442/24</w:t>
            </w:r>
          </w:p>
        </w:tc>
        <w:tc>
          <w:tcPr>
            <w:tcW w:w="235" w:type="dxa"/>
          </w:tcPr>
          <w:p w:rsidR="00800351" w:rsidRPr="00C35B23" w:rsidRDefault="00800351" w:rsidP="00351145">
            <w:pPr>
              <w:suppressAutoHyphens/>
              <w:ind w:left="-185" w:right="-615"/>
              <w:contextualSpacing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952" w:type="dxa"/>
          </w:tcPr>
          <w:p w:rsidR="00800351" w:rsidRPr="00C35B23" w:rsidRDefault="00800351" w:rsidP="00351145">
            <w:pPr>
              <w:suppressAutoHyphens/>
              <w:ind w:left="-190" w:hanging="220"/>
              <w:contextualSpacing/>
              <w:rPr>
                <w:rFonts w:eastAsia="Lucida Sans Unicode"/>
                <w:sz w:val="28"/>
                <w:szCs w:val="28"/>
              </w:rPr>
            </w:pPr>
            <w:r w:rsidRPr="00C35B23">
              <w:rPr>
                <w:rFonts w:eastAsia="Lucida Sans Unicode"/>
                <w:sz w:val="28"/>
                <w:szCs w:val="28"/>
              </w:rPr>
              <w:t>П-</w:t>
            </w:r>
          </w:p>
        </w:tc>
      </w:tr>
    </w:tbl>
    <w:p w:rsidR="00800351" w:rsidRDefault="00800351" w:rsidP="00800351">
      <w:pPr>
        <w:pStyle w:val="a3"/>
        <w:suppressAutoHyphens/>
        <w:ind w:left="-221" w:right="-284"/>
        <w:jc w:val="center"/>
        <w:rPr>
          <w:rFonts w:eastAsia="Lucida Sans Unicode"/>
          <w:sz w:val="28"/>
          <w:szCs w:val="28"/>
        </w:rPr>
      </w:pPr>
      <w:r w:rsidRPr="00A454AA">
        <w:rPr>
          <w:rFonts w:eastAsia="Lucida Sans Unicode"/>
          <w:sz w:val="28"/>
          <w:szCs w:val="28"/>
        </w:rPr>
        <w:t>г. Красный Луч</w:t>
      </w:r>
    </w:p>
    <w:p w:rsidR="00800351" w:rsidRDefault="00800351" w:rsidP="00800351">
      <w:pPr>
        <w:jc w:val="center"/>
        <w:rPr>
          <w:sz w:val="28"/>
          <w:szCs w:val="28"/>
          <w:shd w:val="clear" w:color="auto" w:fill="FFFFFF"/>
        </w:rPr>
      </w:pPr>
    </w:p>
    <w:p w:rsidR="00800351" w:rsidRPr="00A8251B" w:rsidRDefault="00800351" w:rsidP="00800351">
      <w:pPr>
        <w:jc w:val="center"/>
        <w:rPr>
          <w:sz w:val="28"/>
          <w:szCs w:val="28"/>
          <w:shd w:val="clear" w:color="auto" w:fill="FFFFFF"/>
        </w:rPr>
      </w:pPr>
    </w:p>
    <w:p w:rsidR="00800351" w:rsidRPr="00A8251B" w:rsidRDefault="00800351" w:rsidP="00800351">
      <w:pPr>
        <w:jc w:val="center"/>
        <w:rPr>
          <w:b/>
          <w:sz w:val="28"/>
          <w:szCs w:val="28"/>
          <w:shd w:val="clear" w:color="auto" w:fill="FFFFFF"/>
        </w:rPr>
      </w:pPr>
    </w:p>
    <w:p w:rsidR="00AA45CA" w:rsidRPr="002B53CD" w:rsidRDefault="001F226E" w:rsidP="006C5E84">
      <w:pPr>
        <w:jc w:val="center"/>
        <w:rPr>
          <w:b/>
          <w:sz w:val="28"/>
          <w:szCs w:val="28"/>
        </w:rPr>
      </w:pPr>
      <w:r w:rsidRPr="002B53CD">
        <w:rPr>
          <w:b/>
          <w:sz w:val="28"/>
          <w:szCs w:val="28"/>
        </w:rPr>
        <w:t>О</w:t>
      </w:r>
      <w:r w:rsidR="00351145">
        <w:rPr>
          <w:b/>
          <w:sz w:val="28"/>
          <w:szCs w:val="28"/>
        </w:rPr>
        <w:t>б утверждении</w:t>
      </w:r>
      <w:r w:rsidR="006C5E84">
        <w:rPr>
          <w:b/>
          <w:sz w:val="28"/>
          <w:szCs w:val="28"/>
        </w:rPr>
        <w:t xml:space="preserve"> Порядка разработки</w:t>
      </w:r>
      <w:r w:rsidR="0058432F" w:rsidRPr="002B53CD">
        <w:rPr>
          <w:b/>
          <w:sz w:val="28"/>
          <w:szCs w:val="28"/>
        </w:rPr>
        <w:t xml:space="preserve"> </w:t>
      </w:r>
      <w:r w:rsidRPr="002B53CD">
        <w:rPr>
          <w:b/>
          <w:sz w:val="28"/>
          <w:szCs w:val="28"/>
        </w:rPr>
        <w:t>среднесрочного</w:t>
      </w:r>
      <w:r w:rsidR="002B53CD">
        <w:rPr>
          <w:b/>
          <w:sz w:val="28"/>
          <w:szCs w:val="28"/>
        </w:rPr>
        <w:t xml:space="preserve"> </w:t>
      </w:r>
      <w:r w:rsidRPr="002B53CD">
        <w:rPr>
          <w:b/>
          <w:sz w:val="28"/>
          <w:szCs w:val="28"/>
        </w:rPr>
        <w:t xml:space="preserve">финансового плана </w:t>
      </w:r>
      <w:r w:rsidR="00750660" w:rsidRPr="002B53CD">
        <w:rPr>
          <w:b/>
          <w:sz w:val="28"/>
          <w:szCs w:val="28"/>
        </w:rPr>
        <w:t>городского округа</w:t>
      </w:r>
      <w:r w:rsidR="006C5E84">
        <w:rPr>
          <w:b/>
          <w:sz w:val="28"/>
          <w:szCs w:val="28"/>
        </w:rPr>
        <w:t xml:space="preserve"> </w:t>
      </w:r>
      <w:r w:rsidR="00750660" w:rsidRPr="002B53CD">
        <w:rPr>
          <w:b/>
          <w:sz w:val="28"/>
          <w:szCs w:val="28"/>
        </w:rPr>
        <w:t>муниципальное образование городской</w:t>
      </w:r>
      <w:r w:rsidR="002B53CD">
        <w:rPr>
          <w:b/>
          <w:sz w:val="28"/>
          <w:szCs w:val="28"/>
        </w:rPr>
        <w:t xml:space="preserve"> </w:t>
      </w:r>
      <w:r w:rsidR="00750660" w:rsidRPr="002B53CD">
        <w:rPr>
          <w:b/>
          <w:sz w:val="28"/>
          <w:szCs w:val="28"/>
        </w:rPr>
        <w:t>округ город Красный Луч</w:t>
      </w:r>
      <w:r w:rsidR="006C5E84">
        <w:rPr>
          <w:b/>
          <w:sz w:val="28"/>
          <w:szCs w:val="28"/>
        </w:rPr>
        <w:t xml:space="preserve"> </w:t>
      </w:r>
      <w:r w:rsidR="00750660" w:rsidRPr="002B53CD">
        <w:rPr>
          <w:b/>
          <w:sz w:val="28"/>
          <w:szCs w:val="28"/>
        </w:rPr>
        <w:t>Луганской Народной Республики</w:t>
      </w:r>
      <w:r w:rsidR="00351145">
        <w:rPr>
          <w:b/>
          <w:sz w:val="28"/>
          <w:szCs w:val="28"/>
        </w:rPr>
        <w:t xml:space="preserve"> </w:t>
      </w: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6B1CA2" w:rsidRDefault="00DA57F9" w:rsidP="00135384">
      <w:pPr>
        <w:spacing w:line="254" w:lineRule="auto"/>
        <w:ind w:firstLine="709"/>
        <w:jc w:val="both"/>
        <w:rPr>
          <w:sz w:val="28"/>
          <w:szCs w:val="28"/>
        </w:rPr>
      </w:pPr>
      <w:r w:rsidRPr="00750660">
        <w:rPr>
          <w:sz w:val="28"/>
          <w:szCs w:val="28"/>
        </w:rPr>
        <w:t xml:space="preserve">В соответствии со статьей 174 Бюджетного кодекса Российской Федерации, </w:t>
      </w:r>
      <w:r w:rsidR="00351145">
        <w:rPr>
          <w:sz w:val="28"/>
          <w:szCs w:val="28"/>
        </w:rPr>
        <w:t>Положени</w:t>
      </w:r>
      <w:r w:rsidR="006C5E84">
        <w:rPr>
          <w:sz w:val="28"/>
          <w:szCs w:val="28"/>
        </w:rPr>
        <w:t>ем</w:t>
      </w:r>
      <w:r w:rsidR="00351145">
        <w:rPr>
          <w:sz w:val="28"/>
          <w:szCs w:val="28"/>
        </w:rPr>
        <w:t xml:space="preserve"> о бюджетном процессе </w:t>
      </w:r>
      <w:r w:rsidRPr="00750660">
        <w:rPr>
          <w:sz w:val="28"/>
          <w:szCs w:val="28"/>
        </w:rPr>
        <w:t>в</w:t>
      </w:r>
      <w:r w:rsidR="00351145" w:rsidRPr="00351145">
        <w:rPr>
          <w:sz w:val="28"/>
          <w:szCs w:val="28"/>
        </w:rPr>
        <w:t xml:space="preserve"> </w:t>
      </w:r>
      <w:r w:rsidR="00351145" w:rsidRPr="00D4179B">
        <w:rPr>
          <w:sz w:val="28"/>
          <w:szCs w:val="28"/>
        </w:rPr>
        <w:t xml:space="preserve">муниципальном образовании </w:t>
      </w:r>
      <w:r w:rsidR="00351145">
        <w:rPr>
          <w:sz w:val="28"/>
          <w:szCs w:val="28"/>
        </w:rPr>
        <w:t xml:space="preserve">городской округ город Красный Луч Луганской Народной Республики, утвержденным решением </w:t>
      </w:r>
      <w:r w:rsidR="00351145" w:rsidRPr="00351145">
        <w:rPr>
          <w:szCs w:val="28"/>
        </w:rPr>
        <w:t xml:space="preserve"> </w:t>
      </w:r>
      <w:r w:rsidR="00351145" w:rsidRPr="00351145">
        <w:rPr>
          <w:sz w:val="28"/>
          <w:szCs w:val="28"/>
        </w:rPr>
        <w:t>Совет</w:t>
      </w:r>
      <w:r w:rsidR="00351145">
        <w:rPr>
          <w:sz w:val="28"/>
          <w:szCs w:val="28"/>
        </w:rPr>
        <w:t>а</w:t>
      </w:r>
      <w:r w:rsidR="00351145" w:rsidRPr="00351145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351145">
        <w:rPr>
          <w:sz w:val="28"/>
          <w:szCs w:val="28"/>
        </w:rPr>
        <w:t xml:space="preserve"> от 11.12.2023 №</w:t>
      </w:r>
      <w:r w:rsidR="006C5E84">
        <w:rPr>
          <w:sz w:val="28"/>
          <w:szCs w:val="28"/>
        </w:rPr>
        <w:t xml:space="preserve"> </w:t>
      </w:r>
      <w:r w:rsidR="00351145">
        <w:rPr>
          <w:sz w:val="28"/>
          <w:szCs w:val="28"/>
        </w:rPr>
        <w:t>1, в</w:t>
      </w:r>
      <w:r w:rsidRPr="00351145">
        <w:rPr>
          <w:sz w:val="28"/>
          <w:szCs w:val="28"/>
        </w:rPr>
        <w:t xml:space="preserve"> целях обеспечения своевременного и качестве</w:t>
      </w:r>
      <w:r w:rsidRPr="00750660">
        <w:rPr>
          <w:sz w:val="28"/>
          <w:szCs w:val="28"/>
        </w:rPr>
        <w:t xml:space="preserve">нного составления проекта бюджета </w:t>
      </w:r>
      <w:r w:rsidR="00642E76" w:rsidRPr="00750660">
        <w:rPr>
          <w:sz w:val="28"/>
          <w:szCs w:val="28"/>
        </w:rPr>
        <w:t xml:space="preserve">муниципального образования </w:t>
      </w:r>
      <w:r w:rsidR="00750660" w:rsidRPr="00750660">
        <w:rPr>
          <w:sz w:val="28"/>
          <w:szCs w:val="28"/>
        </w:rPr>
        <w:t>городской округ город Красный Луч Луганской Народной Республики</w:t>
      </w:r>
      <w:r w:rsidR="00351145">
        <w:rPr>
          <w:sz w:val="28"/>
          <w:szCs w:val="28"/>
        </w:rPr>
        <w:t>,</w:t>
      </w:r>
      <w:r w:rsidRPr="00750660">
        <w:rPr>
          <w:sz w:val="28"/>
          <w:szCs w:val="28"/>
        </w:rPr>
        <w:t xml:space="preserve"> </w:t>
      </w:r>
      <w:r w:rsidR="009D1573" w:rsidRPr="009D1573">
        <w:rPr>
          <w:sz w:val="28"/>
          <w:szCs w:val="28"/>
        </w:rPr>
        <w:t>руководствуясь</w:t>
      </w:r>
      <w:r w:rsidR="009D1573" w:rsidRPr="009D1573">
        <w:rPr>
          <w:spacing w:val="1"/>
          <w:sz w:val="28"/>
          <w:szCs w:val="28"/>
        </w:rPr>
        <w:t xml:space="preserve"> Положением об Администрации </w:t>
      </w:r>
      <w:r w:rsidR="009D1573" w:rsidRPr="009D1573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A63510">
        <w:rPr>
          <w:sz w:val="28"/>
          <w:szCs w:val="28"/>
        </w:rPr>
        <w:t xml:space="preserve"> </w:t>
      </w:r>
      <w:r w:rsidR="009D1573" w:rsidRPr="009D1573">
        <w:rPr>
          <w:sz w:val="28"/>
          <w:szCs w:val="28"/>
        </w:rPr>
        <w:t>(с изменениями)</w:t>
      </w:r>
      <w:r w:rsidR="00A63510">
        <w:rPr>
          <w:sz w:val="28"/>
          <w:szCs w:val="28"/>
        </w:rPr>
        <w:t xml:space="preserve"> </w:t>
      </w:r>
      <w:r w:rsidR="00D36590" w:rsidRPr="009D1573">
        <w:rPr>
          <w:sz w:val="28"/>
          <w:szCs w:val="28"/>
        </w:rPr>
        <w:t>Администрация</w:t>
      </w:r>
      <w:r w:rsidR="00181F37" w:rsidRPr="009D1573">
        <w:rPr>
          <w:sz w:val="28"/>
          <w:szCs w:val="28"/>
        </w:rPr>
        <w:t xml:space="preserve"> </w:t>
      </w:r>
      <w:r w:rsidR="00750660" w:rsidRPr="009D1573">
        <w:rPr>
          <w:sz w:val="28"/>
          <w:szCs w:val="28"/>
        </w:rPr>
        <w:t>городского о</w:t>
      </w:r>
      <w:r w:rsidR="00750660" w:rsidRPr="00750660">
        <w:rPr>
          <w:sz w:val="28"/>
          <w:szCs w:val="28"/>
        </w:rPr>
        <w:t>круга муниципальное образование городской округ город Красный Луч Луганской Народной Республики</w:t>
      </w:r>
    </w:p>
    <w:p w:rsidR="006C5E84" w:rsidRDefault="006C5E84" w:rsidP="00135384">
      <w:pPr>
        <w:spacing w:line="254" w:lineRule="auto"/>
        <w:ind w:firstLine="709"/>
        <w:jc w:val="both"/>
        <w:rPr>
          <w:sz w:val="28"/>
          <w:szCs w:val="28"/>
        </w:rPr>
      </w:pPr>
    </w:p>
    <w:p w:rsidR="006B1CA2" w:rsidRDefault="006B1CA2" w:rsidP="00135384">
      <w:pPr>
        <w:spacing w:line="254" w:lineRule="auto"/>
        <w:ind w:firstLine="709"/>
        <w:jc w:val="both"/>
        <w:rPr>
          <w:sz w:val="28"/>
          <w:szCs w:val="28"/>
        </w:rPr>
      </w:pPr>
    </w:p>
    <w:p w:rsidR="00DA57F9" w:rsidRDefault="006B1CA2" w:rsidP="00135384">
      <w:pPr>
        <w:spacing w:line="254" w:lineRule="auto"/>
        <w:ind w:firstLine="709"/>
        <w:jc w:val="center"/>
        <w:rPr>
          <w:b/>
          <w:sz w:val="28"/>
          <w:szCs w:val="28"/>
        </w:rPr>
      </w:pPr>
      <w:r w:rsidRPr="006B1CA2">
        <w:rPr>
          <w:b/>
          <w:sz w:val="28"/>
          <w:szCs w:val="28"/>
        </w:rPr>
        <w:t>ПОСТАНОВЛЯЕТ:</w:t>
      </w:r>
    </w:p>
    <w:p w:rsidR="006C5E84" w:rsidRDefault="006C5E84" w:rsidP="00135384">
      <w:pPr>
        <w:spacing w:line="254" w:lineRule="auto"/>
        <w:ind w:firstLine="709"/>
        <w:jc w:val="center"/>
        <w:rPr>
          <w:b/>
          <w:sz w:val="28"/>
          <w:szCs w:val="28"/>
        </w:rPr>
      </w:pPr>
    </w:p>
    <w:p w:rsidR="006B1CA2" w:rsidRPr="006B1CA2" w:rsidRDefault="006B1CA2" w:rsidP="00135384">
      <w:pPr>
        <w:spacing w:line="254" w:lineRule="auto"/>
        <w:ind w:firstLine="709"/>
        <w:jc w:val="center"/>
        <w:rPr>
          <w:b/>
          <w:sz w:val="28"/>
          <w:szCs w:val="28"/>
        </w:rPr>
      </w:pPr>
    </w:p>
    <w:p w:rsidR="00DA57F9" w:rsidRDefault="00BE47CD" w:rsidP="00B41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DA57F9" w:rsidRPr="00BE47CD">
        <w:rPr>
          <w:sz w:val="28"/>
          <w:szCs w:val="28"/>
        </w:rPr>
        <w:t>Утвердить</w:t>
      </w:r>
      <w:r w:rsidR="006C5E84">
        <w:rPr>
          <w:sz w:val="28"/>
          <w:szCs w:val="28"/>
        </w:rPr>
        <w:t xml:space="preserve"> Порядок разработки</w:t>
      </w:r>
      <w:r w:rsidR="00DA57F9" w:rsidRPr="00BE47CD">
        <w:rPr>
          <w:sz w:val="28"/>
          <w:szCs w:val="28"/>
        </w:rPr>
        <w:t xml:space="preserve"> </w:t>
      </w:r>
      <w:r w:rsidR="00181F37" w:rsidRPr="00BE47CD">
        <w:rPr>
          <w:sz w:val="28"/>
          <w:szCs w:val="28"/>
        </w:rPr>
        <w:t>среднесрочн</w:t>
      </w:r>
      <w:r w:rsidR="006C5E84">
        <w:rPr>
          <w:sz w:val="28"/>
          <w:szCs w:val="28"/>
        </w:rPr>
        <w:t>ого</w:t>
      </w:r>
      <w:r w:rsidR="00181F37" w:rsidRPr="00BE47CD">
        <w:rPr>
          <w:sz w:val="28"/>
          <w:szCs w:val="28"/>
        </w:rPr>
        <w:t xml:space="preserve"> финансов</w:t>
      </w:r>
      <w:r w:rsidR="006C5E84">
        <w:rPr>
          <w:sz w:val="28"/>
          <w:szCs w:val="28"/>
        </w:rPr>
        <w:t>ого</w:t>
      </w:r>
      <w:r w:rsidR="00181F37" w:rsidRPr="00BE47CD">
        <w:rPr>
          <w:sz w:val="28"/>
          <w:szCs w:val="28"/>
        </w:rPr>
        <w:t xml:space="preserve"> план</w:t>
      </w:r>
      <w:r w:rsidR="006C5E84">
        <w:rPr>
          <w:sz w:val="28"/>
          <w:szCs w:val="28"/>
        </w:rPr>
        <w:t>а</w:t>
      </w:r>
      <w:r w:rsidR="00181F37" w:rsidRPr="00BE47CD">
        <w:rPr>
          <w:sz w:val="28"/>
          <w:szCs w:val="28"/>
        </w:rPr>
        <w:t xml:space="preserve"> </w:t>
      </w:r>
      <w:r w:rsidR="00750660" w:rsidRPr="00BE47CD">
        <w:rPr>
          <w:sz w:val="28"/>
          <w:szCs w:val="28"/>
        </w:rPr>
        <w:t xml:space="preserve"> муниципально</w:t>
      </w:r>
      <w:r w:rsidR="001B7448" w:rsidRPr="00BE47CD">
        <w:rPr>
          <w:sz w:val="28"/>
          <w:szCs w:val="28"/>
        </w:rPr>
        <w:t>го</w:t>
      </w:r>
      <w:r w:rsidR="00750660" w:rsidRPr="00BE47CD">
        <w:rPr>
          <w:sz w:val="28"/>
          <w:szCs w:val="28"/>
        </w:rPr>
        <w:t xml:space="preserve"> образовани</w:t>
      </w:r>
      <w:r w:rsidR="001B7448" w:rsidRPr="00BE47CD">
        <w:rPr>
          <w:sz w:val="28"/>
          <w:szCs w:val="28"/>
        </w:rPr>
        <w:t>я</w:t>
      </w:r>
      <w:r w:rsidR="00750660" w:rsidRPr="00BE47CD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2F679F" w:rsidRPr="00BE47CD">
        <w:rPr>
          <w:sz w:val="28"/>
          <w:szCs w:val="28"/>
        </w:rPr>
        <w:t xml:space="preserve"> согласно приложению</w:t>
      </w:r>
      <w:r w:rsidRPr="00BE47CD">
        <w:rPr>
          <w:sz w:val="28"/>
          <w:szCs w:val="28"/>
        </w:rPr>
        <w:t>.</w:t>
      </w:r>
    </w:p>
    <w:p w:rsidR="00FA081A" w:rsidRPr="00BE47CD" w:rsidRDefault="00FA081A" w:rsidP="00B410E9">
      <w:pPr>
        <w:jc w:val="both"/>
        <w:rPr>
          <w:sz w:val="28"/>
          <w:szCs w:val="28"/>
        </w:rPr>
      </w:pPr>
    </w:p>
    <w:p w:rsidR="00FA081A" w:rsidRDefault="00BE47CD" w:rsidP="00B41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Признать утратившим силу постановлени</w:t>
      </w:r>
      <w:r w:rsidR="006C5E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36590">
        <w:rPr>
          <w:sz w:val="28"/>
          <w:szCs w:val="28"/>
        </w:rPr>
        <w:t>Администрации</w:t>
      </w:r>
      <w:r w:rsidRPr="00BE47CD">
        <w:rPr>
          <w:sz w:val="28"/>
          <w:szCs w:val="28"/>
        </w:rPr>
        <w:t xml:space="preserve"> </w:t>
      </w:r>
      <w:r w:rsidRPr="00750660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от 22.12.2023 №</w:t>
      </w:r>
      <w:r w:rsidR="00FA081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C5E84">
        <w:rPr>
          <w:sz w:val="28"/>
          <w:szCs w:val="28"/>
        </w:rPr>
        <w:t xml:space="preserve"> «</w:t>
      </w:r>
      <w:r w:rsidR="006C5E84" w:rsidRPr="006C5E84">
        <w:rPr>
          <w:sz w:val="28"/>
          <w:szCs w:val="28"/>
        </w:rPr>
        <w:t xml:space="preserve">О формировании </w:t>
      </w:r>
      <w:r w:rsidR="006C5E84" w:rsidRPr="006C5E84">
        <w:rPr>
          <w:sz w:val="28"/>
          <w:szCs w:val="28"/>
        </w:rPr>
        <w:lastRenderedPageBreak/>
        <w:t>среднесрочного финансового плана городского округа</w:t>
      </w:r>
      <w:r w:rsidR="006C5E84">
        <w:rPr>
          <w:sz w:val="28"/>
          <w:szCs w:val="28"/>
        </w:rPr>
        <w:t xml:space="preserve"> </w:t>
      </w:r>
      <w:r w:rsidR="006C5E84" w:rsidRPr="006C5E84">
        <w:rPr>
          <w:sz w:val="28"/>
          <w:szCs w:val="28"/>
        </w:rPr>
        <w:t>муниципальное образование городской округ город Красный Луч</w:t>
      </w:r>
      <w:r w:rsidR="006C5E84">
        <w:rPr>
          <w:sz w:val="28"/>
          <w:szCs w:val="28"/>
        </w:rPr>
        <w:t xml:space="preserve"> </w:t>
      </w:r>
      <w:r w:rsidR="006C5E84" w:rsidRPr="006C5E84">
        <w:rPr>
          <w:sz w:val="28"/>
          <w:szCs w:val="28"/>
        </w:rPr>
        <w:t>Луганской Народной Республики</w:t>
      </w:r>
      <w:r w:rsidR="006C5E84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F328A0" w:rsidRPr="00BE47CD" w:rsidRDefault="00BE47CD" w:rsidP="00B41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28A0" w:rsidRDefault="00BE47CD" w:rsidP="00B410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CF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328A0" w:rsidRPr="00BE47CD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FA081A" w:rsidRPr="00BE47CD" w:rsidRDefault="00FA081A" w:rsidP="00B410E9">
      <w:pPr>
        <w:tabs>
          <w:tab w:val="left" w:pos="1134"/>
        </w:tabs>
        <w:jc w:val="both"/>
        <w:rPr>
          <w:sz w:val="28"/>
          <w:szCs w:val="28"/>
        </w:rPr>
      </w:pPr>
    </w:p>
    <w:p w:rsidR="006C5E84" w:rsidRPr="00BE47CD" w:rsidRDefault="006C5E84" w:rsidP="00B410E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CF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BE47CD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81F37" w:rsidRPr="006C5E84" w:rsidRDefault="00181F37" w:rsidP="00B410E9">
      <w:pPr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692C6A" w:rsidRDefault="00692C6A" w:rsidP="00692C6A">
      <w:pPr>
        <w:pStyle w:val="af3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     С.В. Соловьев</w:t>
      </w:r>
    </w:p>
    <w:p w:rsidR="00692C6A" w:rsidRDefault="00692C6A" w:rsidP="00692C6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FA081A" w:rsidRDefault="00FA081A" w:rsidP="00AA45CA">
      <w:pPr>
        <w:pStyle w:val="a3"/>
        <w:ind w:left="0"/>
        <w:jc w:val="right"/>
        <w:rPr>
          <w:sz w:val="28"/>
          <w:szCs w:val="28"/>
        </w:rPr>
      </w:pPr>
    </w:p>
    <w:p w:rsidR="00983B51" w:rsidRDefault="00840F64">
      <w:pPr>
        <w:rPr>
          <w:sz w:val="28"/>
          <w:szCs w:val="28"/>
        </w:rPr>
        <w:sectPr w:rsidR="00983B51" w:rsidSect="00983B51">
          <w:headerReference w:type="default" r:id="rId12"/>
          <w:headerReference w:type="first" r:id="rId13"/>
          <w:pgSz w:w="11906" w:h="16838" w:code="9"/>
          <w:pgMar w:top="1134" w:right="567" w:bottom="993" w:left="1560" w:header="426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A081A" w:rsidRDefault="00FA081A">
      <w:pPr>
        <w:rPr>
          <w:sz w:val="28"/>
          <w:szCs w:val="28"/>
        </w:rPr>
      </w:pPr>
    </w:p>
    <w:p w:rsidR="006B1CA2" w:rsidRPr="009C6DCA" w:rsidRDefault="006B1CA2" w:rsidP="006B1CA2">
      <w:pPr>
        <w:ind w:left="4820"/>
        <w:rPr>
          <w:sz w:val="28"/>
        </w:rPr>
      </w:pPr>
      <w:r w:rsidRPr="009C6DCA">
        <w:rPr>
          <w:sz w:val="28"/>
        </w:rPr>
        <w:t>Утвержден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="00D36590">
        <w:rPr>
          <w:sz w:val="28"/>
          <w:szCs w:val="28"/>
        </w:rPr>
        <w:t>Администрации</w:t>
      </w:r>
      <w:r w:rsidRPr="00BF18BA">
        <w:rPr>
          <w:sz w:val="28"/>
          <w:szCs w:val="28"/>
        </w:rPr>
        <w:t xml:space="preserve">  городского округа муниципальное образование</w:t>
      </w:r>
      <w:r>
        <w:rPr>
          <w:sz w:val="28"/>
          <w:szCs w:val="28"/>
        </w:rPr>
        <w:t xml:space="preserve"> </w:t>
      </w:r>
      <w:r w:rsidRPr="00BF18BA">
        <w:rPr>
          <w:sz w:val="28"/>
          <w:szCs w:val="28"/>
        </w:rPr>
        <w:t xml:space="preserve">городской округ 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 xml:space="preserve">город Красный Луч 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 xml:space="preserve">Луганской Народной </w:t>
      </w:r>
      <w:r>
        <w:rPr>
          <w:sz w:val="28"/>
          <w:szCs w:val="28"/>
        </w:rPr>
        <w:t xml:space="preserve">Республики       </w:t>
      </w:r>
    </w:p>
    <w:p w:rsidR="00921E04" w:rsidRPr="009C6DCA" w:rsidRDefault="00921E04" w:rsidP="006B1CA2">
      <w:pPr>
        <w:ind w:left="4820"/>
        <w:rPr>
          <w:sz w:val="28"/>
        </w:rPr>
      </w:pPr>
    </w:p>
    <w:p w:rsidR="006B1CA2" w:rsidRPr="0084310F" w:rsidRDefault="00CE60A2" w:rsidP="006B1CA2">
      <w:pPr>
        <w:ind w:left="410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6B1CA2" w:rsidRPr="008431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4D6D">
        <w:rPr>
          <w:sz w:val="28"/>
          <w:szCs w:val="28"/>
        </w:rPr>
        <w:t>«___»________</w:t>
      </w:r>
      <w:r>
        <w:rPr>
          <w:sz w:val="28"/>
          <w:szCs w:val="28"/>
        </w:rPr>
        <w:t xml:space="preserve"> </w:t>
      </w:r>
      <w:r w:rsidR="006B1CA2" w:rsidRPr="0084310F">
        <w:rPr>
          <w:sz w:val="28"/>
          <w:szCs w:val="28"/>
        </w:rPr>
        <w:t>202</w:t>
      </w:r>
      <w:r w:rsidR="00574D6D">
        <w:rPr>
          <w:sz w:val="28"/>
          <w:szCs w:val="28"/>
        </w:rPr>
        <w:t>4</w:t>
      </w:r>
      <w:r w:rsidR="006B1CA2" w:rsidRPr="0084310F">
        <w:rPr>
          <w:sz w:val="28"/>
          <w:szCs w:val="28"/>
        </w:rPr>
        <w:t xml:space="preserve"> года № </w:t>
      </w:r>
      <w:r w:rsidR="00574D6D">
        <w:rPr>
          <w:sz w:val="28"/>
          <w:szCs w:val="28"/>
        </w:rPr>
        <w:t>_______</w:t>
      </w:r>
    </w:p>
    <w:p w:rsidR="009166DC" w:rsidRDefault="009166DC" w:rsidP="006B1CA2">
      <w:pPr>
        <w:pStyle w:val="a3"/>
        <w:ind w:left="5670"/>
        <w:rPr>
          <w:sz w:val="28"/>
          <w:szCs w:val="28"/>
        </w:rPr>
      </w:pPr>
    </w:p>
    <w:p w:rsidR="00A63510" w:rsidRDefault="00A63510" w:rsidP="006B1CA2">
      <w:pPr>
        <w:pStyle w:val="a3"/>
        <w:ind w:left="5670"/>
        <w:rPr>
          <w:sz w:val="28"/>
          <w:szCs w:val="28"/>
        </w:rPr>
      </w:pPr>
    </w:p>
    <w:p w:rsidR="00A63510" w:rsidRPr="00826DB7" w:rsidRDefault="00A63510" w:rsidP="006B1CA2">
      <w:pPr>
        <w:pStyle w:val="a3"/>
        <w:ind w:left="5670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1C44D8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П</w:t>
      </w:r>
      <w:r w:rsidR="00C30833" w:rsidRPr="001C44D8">
        <w:rPr>
          <w:b/>
          <w:sz w:val="28"/>
          <w:szCs w:val="28"/>
        </w:rPr>
        <w:t>орядок</w:t>
      </w:r>
    </w:p>
    <w:p w:rsidR="001F226E" w:rsidRPr="001C44D8" w:rsidRDefault="00C30833" w:rsidP="001F226E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формирования среднесрочного финансового плана</w:t>
      </w:r>
      <w:r w:rsidR="001F226E" w:rsidRPr="001C44D8">
        <w:rPr>
          <w:b/>
          <w:sz w:val="28"/>
          <w:szCs w:val="28"/>
        </w:rPr>
        <w:t xml:space="preserve"> </w:t>
      </w:r>
    </w:p>
    <w:p w:rsidR="006B1CA2" w:rsidRDefault="003046A7" w:rsidP="003046A7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 xml:space="preserve"> муниципально</w:t>
      </w:r>
      <w:r w:rsidR="00DE5D00" w:rsidRPr="001C44D8">
        <w:rPr>
          <w:b/>
          <w:sz w:val="28"/>
          <w:szCs w:val="28"/>
        </w:rPr>
        <w:t>го</w:t>
      </w:r>
      <w:r w:rsidRPr="001C44D8">
        <w:rPr>
          <w:b/>
          <w:sz w:val="28"/>
          <w:szCs w:val="28"/>
        </w:rPr>
        <w:t xml:space="preserve"> образовани</w:t>
      </w:r>
      <w:r w:rsidR="00DE5D00" w:rsidRPr="001C44D8">
        <w:rPr>
          <w:b/>
          <w:sz w:val="28"/>
          <w:szCs w:val="28"/>
        </w:rPr>
        <w:t>я</w:t>
      </w:r>
      <w:r w:rsidRPr="001C44D8">
        <w:rPr>
          <w:b/>
          <w:sz w:val="28"/>
          <w:szCs w:val="28"/>
        </w:rPr>
        <w:t xml:space="preserve"> городской округ город Красный Луч </w:t>
      </w:r>
    </w:p>
    <w:p w:rsidR="009166DC" w:rsidRDefault="003046A7" w:rsidP="003046A7">
      <w:pPr>
        <w:pStyle w:val="a3"/>
        <w:ind w:left="0"/>
        <w:jc w:val="center"/>
        <w:rPr>
          <w:b/>
          <w:sz w:val="28"/>
          <w:szCs w:val="28"/>
        </w:rPr>
      </w:pPr>
      <w:r w:rsidRPr="001C44D8">
        <w:rPr>
          <w:b/>
          <w:sz w:val="28"/>
          <w:szCs w:val="28"/>
        </w:rPr>
        <w:t>Луганской Народной Республики</w:t>
      </w:r>
    </w:p>
    <w:p w:rsidR="00840F64" w:rsidRPr="001C44D8" w:rsidRDefault="00840F64" w:rsidP="003046A7">
      <w:pPr>
        <w:pStyle w:val="a3"/>
        <w:ind w:left="0"/>
        <w:jc w:val="center"/>
        <w:rPr>
          <w:b/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58432F" w:rsidRDefault="0083312D" w:rsidP="0058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432F">
        <w:rPr>
          <w:sz w:val="28"/>
          <w:szCs w:val="28"/>
        </w:rPr>
        <w:t xml:space="preserve">В случае составления и утверждения </w:t>
      </w:r>
      <w:r w:rsidR="002F50A2">
        <w:rPr>
          <w:sz w:val="28"/>
          <w:szCs w:val="28"/>
        </w:rPr>
        <w:t xml:space="preserve">однолетнего </w:t>
      </w:r>
      <w:r w:rsidR="0058432F">
        <w:rPr>
          <w:sz w:val="28"/>
          <w:szCs w:val="28"/>
        </w:rPr>
        <w:t xml:space="preserve">проекта бюджета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AD1403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D36590">
        <w:rPr>
          <w:sz w:val="28"/>
          <w:szCs w:val="28"/>
        </w:rPr>
        <w:t>Администрацией</w:t>
      </w:r>
      <w:r w:rsidR="003046A7" w:rsidRPr="00750660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0C682B">
        <w:rPr>
          <w:sz w:val="28"/>
          <w:szCs w:val="28"/>
        </w:rPr>
        <w:t xml:space="preserve">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58432F">
        <w:rPr>
          <w:sz w:val="28"/>
          <w:szCs w:val="28"/>
        </w:rPr>
        <w:t>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3046A7" w:rsidRPr="00750660">
        <w:rPr>
          <w:sz w:val="28"/>
          <w:szCs w:val="28"/>
        </w:rPr>
        <w:t>муниципально</w:t>
      </w:r>
      <w:r w:rsidR="003046A7">
        <w:rPr>
          <w:sz w:val="28"/>
          <w:szCs w:val="28"/>
        </w:rPr>
        <w:t>го</w:t>
      </w:r>
      <w:r w:rsidR="003046A7" w:rsidRPr="00750660">
        <w:rPr>
          <w:sz w:val="28"/>
          <w:szCs w:val="28"/>
        </w:rPr>
        <w:t xml:space="preserve"> образовани</w:t>
      </w:r>
      <w:r w:rsidR="003046A7">
        <w:rPr>
          <w:sz w:val="28"/>
          <w:szCs w:val="28"/>
        </w:rPr>
        <w:t>я</w:t>
      </w:r>
      <w:r w:rsidR="003046A7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84008D">
        <w:rPr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0C682B">
        <w:rPr>
          <w:sz w:val="28"/>
          <w:szCs w:val="28"/>
        </w:rPr>
        <w:t xml:space="preserve"> </w:t>
      </w:r>
      <w:r w:rsidR="00463AE8">
        <w:rPr>
          <w:sz w:val="28"/>
          <w:szCs w:val="28"/>
        </w:rPr>
        <w:t xml:space="preserve">ежегодно </w:t>
      </w:r>
      <w:r w:rsidR="009166DC" w:rsidRPr="00686286">
        <w:rPr>
          <w:sz w:val="28"/>
          <w:szCs w:val="28"/>
        </w:rPr>
        <w:t xml:space="preserve">разрабатывается </w:t>
      </w:r>
      <w:r w:rsidR="00463AE8" w:rsidRPr="00463AE8">
        <w:rPr>
          <w:sz w:val="28"/>
          <w:szCs w:val="28"/>
        </w:rPr>
        <w:t>с соблюдением положений</w:t>
      </w:r>
      <w:r w:rsidR="000C682B">
        <w:rPr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Бюджетн</w:t>
      </w:r>
      <w:r w:rsidR="00463AE8">
        <w:rPr>
          <w:sz w:val="28"/>
          <w:szCs w:val="28"/>
        </w:rPr>
        <w:t>ого</w:t>
      </w:r>
      <w:r w:rsidR="009166DC" w:rsidRPr="00686286">
        <w:rPr>
          <w:sz w:val="28"/>
          <w:szCs w:val="28"/>
        </w:rPr>
        <w:t xml:space="preserve"> кодекс</w:t>
      </w:r>
      <w:r w:rsidR="00463AE8">
        <w:rPr>
          <w:sz w:val="28"/>
          <w:szCs w:val="28"/>
        </w:rPr>
        <w:t>а</w:t>
      </w:r>
      <w:r w:rsidR="009166DC" w:rsidRPr="00686286">
        <w:rPr>
          <w:sz w:val="28"/>
          <w:szCs w:val="28"/>
        </w:rPr>
        <w:t xml:space="preserve"> Российской Федерации, а также основны</w:t>
      </w:r>
      <w:r w:rsidR="00BE7AF3">
        <w:rPr>
          <w:sz w:val="28"/>
          <w:szCs w:val="28"/>
        </w:rPr>
        <w:t>х</w:t>
      </w:r>
      <w:r w:rsidR="009166DC" w:rsidRPr="00686286">
        <w:rPr>
          <w:sz w:val="28"/>
          <w:szCs w:val="28"/>
        </w:rPr>
        <w:t xml:space="preserve"> направлени</w:t>
      </w:r>
      <w:r w:rsidR="00BE7AF3">
        <w:rPr>
          <w:sz w:val="28"/>
          <w:szCs w:val="28"/>
        </w:rPr>
        <w:t>й</w:t>
      </w:r>
      <w:r w:rsidR="009166DC" w:rsidRPr="00686286">
        <w:rPr>
          <w:sz w:val="28"/>
          <w:szCs w:val="28"/>
        </w:rPr>
        <w:t xml:space="preserve"> бюджетной и налоговой политики</w:t>
      </w:r>
      <w:r w:rsidR="00463AE8">
        <w:rPr>
          <w:sz w:val="28"/>
          <w:szCs w:val="28"/>
        </w:rPr>
        <w:t xml:space="preserve"> муниципального образования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0C682B">
        <w:rPr>
          <w:sz w:val="28"/>
          <w:szCs w:val="28"/>
        </w:rPr>
        <w:t xml:space="preserve"> </w:t>
      </w:r>
      <w:r w:rsidR="000C4986" w:rsidRPr="00750660">
        <w:rPr>
          <w:sz w:val="28"/>
          <w:szCs w:val="28"/>
        </w:rPr>
        <w:t>муниципально</w:t>
      </w:r>
      <w:r w:rsidR="000C4986">
        <w:rPr>
          <w:sz w:val="28"/>
          <w:szCs w:val="28"/>
        </w:rPr>
        <w:t>го</w:t>
      </w:r>
      <w:r w:rsidR="000C4986" w:rsidRPr="00750660">
        <w:rPr>
          <w:sz w:val="28"/>
          <w:szCs w:val="28"/>
        </w:rPr>
        <w:t xml:space="preserve"> образовани</w:t>
      </w:r>
      <w:r w:rsidR="000C4986">
        <w:rPr>
          <w:sz w:val="28"/>
          <w:szCs w:val="28"/>
        </w:rPr>
        <w:t>я</w:t>
      </w:r>
      <w:r w:rsidR="000C4986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>Значения показателей среднесрочного финансового плана</w:t>
      </w:r>
      <w:r w:rsidR="000C682B">
        <w:rPr>
          <w:sz w:val="28"/>
          <w:szCs w:val="28"/>
        </w:rPr>
        <w:t xml:space="preserve"> </w:t>
      </w:r>
      <w:r w:rsidR="000C4986" w:rsidRPr="00750660">
        <w:rPr>
          <w:sz w:val="28"/>
          <w:szCs w:val="28"/>
        </w:rPr>
        <w:t>муниципально</w:t>
      </w:r>
      <w:r w:rsidR="000C4986">
        <w:rPr>
          <w:sz w:val="28"/>
          <w:szCs w:val="28"/>
        </w:rPr>
        <w:t>го</w:t>
      </w:r>
      <w:r w:rsidR="000C4986" w:rsidRPr="00750660">
        <w:rPr>
          <w:sz w:val="28"/>
          <w:szCs w:val="28"/>
        </w:rPr>
        <w:t xml:space="preserve"> образовани</w:t>
      </w:r>
      <w:r w:rsidR="000C4986">
        <w:rPr>
          <w:sz w:val="28"/>
          <w:szCs w:val="28"/>
        </w:rPr>
        <w:t>я</w:t>
      </w:r>
      <w:r w:rsidR="000C4986" w:rsidRPr="00750660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FD7BCD">
        <w:rPr>
          <w:sz w:val="28"/>
          <w:szCs w:val="28"/>
        </w:rPr>
        <w:t>местного</w:t>
      </w:r>
      <w:r w:rsidR="00642E76">
        <w:rPr>
          <w:sz w:val="28"/>
          <w:szCs w:val="28"/>
        </w:rPr>
        <w:t xml:space="preserve"> бюджета</w:t>
      </w:r>
      <w:r w:rsidRPr="00DB4063">
        <w:rPr>
          <w:sz w:val="28"/>
          <w:szCs w:val="28"/>
        </w:rPr>
        <w:t>;</w:t>
      </w:r>
    </w:p>
    <w:p w:rsidR="00686286" w:rsidRDefault="00686286" w:rsidP="00966519">
      <w:pPr>
        <w:ind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lastRenderedPageBreak/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>
        <w:rPr>
          <w:sz w:val="28"/>
          <w:szCs w:val="28"/>
        </w:rPr>
        <w:t>местн</w:t>
      </w:r>
      <w:r w:rsidR="00920919">
        <w:rPr>
          <w:sz w:val="28"/>
          <w:szCs w:val="28"/>
        </w:rPr>
        <w:t>ого</w:t>
      </w:r>
      <w:r w:rsidR="005010C7">
        <w:rPr>
          <w:sz w:val="28"/>
          <w:szCs w:val="28"/>
        </w:rPr>
        <w:t xml:space="preserve"> бюджета</w:t>
      </w:r>
      <w:r w:rsidRPr="00686286">
        <w:rPr>
          <w:sz w:val="28"/>
          <w:szCs w:val="28"/>
        </w:rPr>
        <w:t>;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дефицит (профицит) </w:t>
      </w:r>
      <w:r w:rsidR="00FD7BCD">
        <w:rPr>
          <w:sz w:val="28"/>
          <w:szCs w:val="28"/>
        </w:rPr>
        <w:t xml:space="preserve">местного </w:t>
      </w:r>
      <w:r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</w:p>
    <w:p w:rsidR="009166DC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Формирование среднесрочного финансового плана осуществляет</w:t>
      </w:r>
      <w:r w:rsidR="00E95AD0">
        <w:rPr>
          <w:sz w:val="28"/>
          <w:szCs w:val="28"/>
        </w:rPr>
        <w:t xml:space="preserve"> финансовое</w:t>
      </w:r>
      <w:r w:rsidR="00C6097E" w:rsidRPr="00DB4063">
        <w:rPr>
          <w:sz w:val="28"/>
          <w:szCs w:val="28"/>
        </w:rPr>
        <w:t xml:space="preserve"> </w:t>
      </w:r>
      <w:r w:rsidR="004C1DD2">
        <w:rPr>
          <w:sz w:val="28"/>
          <w:szCs w:val="28"/>
        </w:rPr>
        <w:t xml:space="preserve">управление  </w:t>
      </w:r>
      <w:r w:rsidR="00D36590">
        <w:rPr>
          <w:sz w:val="28"/>
          <w:szCs w:val="28"/>
        </w:rPr>
        <w:t>Администрации</w:t>
      </w:r>
      <w:r w:rsidR="004C1DD2" w:rsidRPr="005B185C">
        <w:rPr>
          <w:sz w:val="28"/>
          <w:szCs w:val="28"/>
        </w:rPr>
        <w:t xml:space="preserve"> </w:t>
      </w:r>
      <w:r w:rsidR="004C1DD2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>риложению к настоящему Порядку в сроки, устанавливаемые распоряжением</w:t>
      </w:r>
      <w:r w:rsidR="004C1DD2">
        <w:rPr>
          <w:sz w:val="28"/>
          <w:szCs w:val="28"/>
        </w:rPr>
        <w:t xml:space="preserve"> </w:t>
      </w:r>
      <w:r w:rsidR="00D36590">
        <w:rPr>
          <w:sz w:val="28"/>
          <w:szCs w:val="28"/>
        </w:rPr>
        <w:t>Администрации</w:t>
      </w:r>
      <w:r w:rsidR="004C1DD2" w:rsidRPr="005B185C">
        <w:rPr>
          <w:sz w:val="28"/>
          <w:szCs w:val="28"/>
        </w:rPr>
        <w:t xml:space="preserve"> </w:t>
      </w:r>
      <w:r w:rsidR="004C1DD2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4C1DD2" w:rsidRPr="00DB4063">
        <w:rPr>
          <w:sz w:val="28"/>
          <w:szCs w:val="28"/>
        </w:rPr>
        <w:t>.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 w:rsidRPr="006939BC">
        <w:rPr>
          <w:sz w:val="28"/>
          <w:szCs w:val="28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6939BC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DB4063" w:rsidRDefault="006939BC" w:rsidP="00693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939BC">
        <w:rPr>
          <w:sz w:val="28"/>
          <w:szCs w:val="28"/>
        </w:rPr>
        <w:t>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общего объема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местном б</w:t>
      </w:r>
      <w:r w:rsidR="00DD02CF" w:rsidRPr="00DB4063">
        <w:rPr>
          <w:sz w:val="28"/>
          <w:szCs w:val="28"/>
        </w:rPr>
        <w:t xml:space="preserve">юджете на очередной финансовый год в </w:t>
      </w:r>
      <w:r w:rsidR="00AD1403">
        <w:rPr>
          <w:sz w:val="28"/>
          <w:szCs w:val="28"/>
        </w:rPr>
        <w:t>Совет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AD1403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на очередной финансовый год </w:t>
      </w:r>
      <w:r w:rsidR="00952981">
        <w:rPr>
          <w:sz w:val="28"/>
          <w:szCs w:val="28"/>
        </w:rPr>
        <w:t xml:space="preserve">(очередной финансовый год и </w:t>
      </w:r>
      <w:r w:rsidR="00DD02CF" w:rsidRPr="00DB4063">
        <w:rPr>
          <w:sz w:val="28"/>
          <w:szCs w:val="28"/>
        </w:rPr>
        <w:t>плановый период</w:t>
      </w:r>
      <w:r w:rsidR="00952981">
        <w:rPr>
          <w:sz w:val="28"/>
          <w:szCs w:val="28"/>
        </w:rPr>
        <w:t>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 xml:space="preserve">, </w:t>
      </w:r>
      <w:r w:rsidR="00DD02CF" w:rsidRPr="00DB4063">
        <w:rPr>
          <w:sz w:val="28"/>
          <w:szCs w:val="28"/>
        </w:rPr>
        <w:lastRenderedPageBreak/>
        <w:t xml:space="preserve">отраслевыми отделами </w:t>
      </w:r>
      <w:r w:rsidR="00D36590">
        <w:rPr>
          <w:sz w:val="28"/>
          <w:szCs w:val="28"/>
        </w:rPr>
        <w:t>Администрации</w:t>
      </w:r>
      <w:r w:rsidR="00AD1403">
        <w:rPr>
          <w:sz w:val="28"/>
          <w:szCs w:val="28"/>
        </w:rPr>
        <w:t xml:space="preserve"> городского округа</w:t>
      </w:r>
      <w:r w:rsidR="000C682B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="00DD02CF" w:rsidRPr="008F1AA1">
        <w:rPr>
          <w:sz w:val="28"/>
          <w:szCs w:val="28"/>
        </w:rPr>
        <w:t>, орган</w:t>
      </w:r>
      <w:r w:rsidR="00AD1403">
        <w:rPr>
          <w:sz w:val="28"/>
          <w:szCs w:val="28"/>
        </w:rPr>
        <w:t>ом</w:t>
      </w:r>
      <w:r w:rsidR="00DD02CF" w:rsidRPr="00DB4063">
        <w:rPr>
          <w:sz w:val="28"/>
          <w:szCs w:val="28"/>
        </w:rPr>
        <w:t xml:space="preserve"> местного самоуправления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DB4063">
        <w:rPr>
          <w:sz w:val="28"/>
          <w:szCs w:val="28"/>
        </w:rPr>
        <w:t>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</w:t>
      </w:r>
      <w:r w:rsidR="00AD1403">
        <w:rPr>
          <w:sz w:val="28"/>
          <w:szCs w:val="28"/>
        </w:rPr>
        <w:t xml:space="preserve">управлением финансов </w:t>
      </w:r>
      <w:r w:rsidR="00D36590">
        <w:rPr>
          <w:sz w:val="28"/>
          <w:szCs w:val="28"/>
        </w:rPr>
        <w:t>Администрации</w:t>
      </w:r>
      <w:r w:rsidR="00AD1403" w:rsidRPr="005B185C">
        <w:rPr>
          <w:sz w:val="28"/>
          <w:szCs w:val="28"/>
        </w:rPr>
        <w:t xml:space="preserve"> </w:t>
      </w:r>
      <w:r w:rsidR="00AD1403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0C682B">
        <w:rPr>
          <w:sz w:val="28"/>
          <w:szCs w:val="28"/>
        </w:rPr>
        <w:t xml:space="preserve"> </w:t>
      </w:r>
      <w:r w:rsidR="00D2039A">
        <w:rPr>
          <w:sz w:val="28"/>
          <w:szCs w:val="28"/>
        </w:rPr>
        <w:t xml:space="preserve">местного </w:t>
      </w:r>
      <w:r w:rsidR="00952981">
        <w:rPr>
          <w:sz w:val="28"/>
          <w:szCs w:val="28"/>
        </w:rPr>
        <w:t xml:space="preserve">бюджета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ведомственной структуре расходов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AD1403" w:rsidRPr="008F1AA1">
        <w:rPr>
          <w:sz w:val="28"/>
          <w:szCs w:val="28"/>
        </w:rPr>
        <w:t>орган</w:t>
      </w:r>
      <w:r w:rsidR="00AD1403">
        <w:rPr>
          <w:sz w:val="28"/>
          <w:szCs w:val="28"/>
        </w:rPr>
        <w:t>ом</w:t>
      </w:r>
      <w:r w:rsidR="00AD1403" w:rsidRPr="00DB4063">
        <w:rPr>
          <w:sz w:val="28"/>
          <w:szCs w:val="28"/>
        </w:rPr>
        <w:t xml:space="preserve"> местного самоуправления </w:t>
      </w:r>
      <w:r w:rsidR="00AD1403" w:rsidRPr="004A7D7C">
        <w:rPr>
          <w:sz w:val="28"/>
          <w:szCs w:val="28"/>
        </w:rPr>
        <w:t>муниципально</w:t>
      </w:r>
      <w:r w:rsidR="00AD1403">
        <w:rPr>
          <w:sz w:val="28"/>
          <w:szCs w:val="28"/>
        </w:rPr>
        <w:t>го</w:t>
      </w:r>
      <w:r w:rsidR="00AD1403" w:rsidRPr="004A7D7C">
        <w:rPr>
          <w:sz w:val="28"/>
          <w:szCs w:val="28"/>
        </w:rPr>
        <w:t xml:space="preserve"> образовани</w:t>
      </w:r>
      <w:r w:rsidR="00AD1403">
        <w:rPr>
          <w:sz w:val="28"/>
          <w:szCs w:val="28"/>
        </w:rPr>
        <w:t>я</w:t>
      </w:r>
      <w:r w:rsidR="00AD1403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524845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BE3C22" w:rsidRPr="00BE3C22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41389E">
        <w:rPr>
          <w:sz w:val="28"/>
          <w:szCs w:val="28"/>
        </w:rPr>
        <w:t xml:space="preserve">местного </w:t>
      </w:r>
      <w:r w:rsidR="00952981" w:rsidRPr="00952981">
        <w:rPr>
          <w:sz w:val="28"/>
          <w:szCs w:val="28"/>
        </w:rPr>
        <w:t xml:space="preserve">бюджета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го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я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1D71AE">
        <w:rPr>
          <w:sz w:val="28"/>
          <w:szCs w:val="28"/>
        </w:rPr>
        <w:t xml:space="preserve"> </w:t>
      </w:r>
      <w:r w:rsidR="00E95AD0">
        <w:rPr>
          <w:sz w:val="28"/>
          <w:szCs w:val="28"/>
        </w:rPr>
        <w:t xml:space="preserve">финансовым </w:t>
      </w:r>
      <w:r w:rsidR="001D71AE">
        <w:rPr>
          <w:sz w:val="28"/>
          <w:szCs w:val="28"/>
        </w:rPr>
        <w:t xml:space="preserve">управлением </w:t>
      </w:r>
      <w:r w:rsidR="00D36590">
        <w:rPr>
          <w:sz w:val="28"/>
          <w:szCs w:val="28"/>
        </w:rPr>
        <w:t>Администрации</w:t>
      </w:r>
      <w:r w:rsidR="001D71AE">
        <w:rPr>
          <w:sz w:val="28"/>
          <w:szCs w:val="28"/>
        </w:rPr>
        <w:t xml:space="preserve"> городского округа</w:t>
      </w:r>
      <w:r w:rsidR="000C682B">
        <w:rPr>
          <w:sz w:val="28"/>
          <w:szCs w:val="28"/>
        </w:rPr>
        <w:t xml:space="preserve"> </w:t>
      </w:r>
      <w:r w:rsidR="001D71AE" w:rsidRPr="004A7D7C">
        <w:rPr>
          <w:sz w:val="28"/>
          <w:szCs w:val="28"/>
        </w:rPr>
        <w:t>муниципально</w:t>
      </w:r>
      <w:r w:rsidR="001D71AE">
        <w:rPr>
          <w:sz w:val="28"/>
          <w:szCs w:val="28"/>
        </w:rPr>
        <w:t>е</w:t>
      </w:r>
      <w:r w:rsidR="001D71AE" w:rsidRPr="004A7D7C">
        <w:rPr>
          <w:sz w:val="28"/>
          <w:szCs w:val="28"/>
        </w:rPr>
        <w:t xml:space="preserve"> образовани</w:t>
      </w:r>
      <w:r w:rsidR="001D71AE">
        <w:rPr>
          <w:sz w:val="28"/>
          <w:szCs w:val="28"/>
        </w:rPr>
        <w:t>е</w:t>
      </w:r>
      <w:r w:rsidR="001D71AE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местного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(профицит)</w:t>
      </w:r>
      <w:r w:rsidR="0041389E">
        <w:rPr>
          <w:sz w:val="28"/>
          <w:szCs w:val="28"/>
        </w:rPr>
        <w:t xml:space="preserve"> </w:t>
      </w:r>
      <w:r w:rsidR="000C682B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Default="00EB3012" w:rsidP="006A6B0D"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Default="00EB3012" w:rsidP="006A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EB3012">
          <w:rPr>
            <w:sz w:val="28"/>
            <w:szCs w:val="28"/>
          </w:rPr>
          <w:t>пунктом 4 статьи 136</w:t>
        </w:r>
      </w:hyperlink>
      <w:r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утверждения муниципальным правовым актом </w:t>
      </w:r>
      <w:r w:rsidR="00BF5C4B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>
        <w:rPr>
          <w:sz w:val="28"/>
          <w:szCs w:val="28"/>
        </w:rPr>
        <w:t xml:space="preserve"> данные </w:t>
      </w:r>
      <w:r>
        <w:rPr>
          <w:sz w:val="28"/>
          <w:szCs w:val="28"/>
        </w:rPr>
        <w:t>ограничения, в пределах суммы указанных поступлений и снижения остатков средств на счетах по учету средств местного бюджета.</w:t>
      </w:r>
    </w:p>
    <w:p w:rsidR="00EB3012" w:rsidRDefault="00EB3012" w:rsidP="00C71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4761E0">
        <w:rPr>
          <w:sz w:val="28"/>
          <w:szCs w:val="28"/>
        </w:rPr>
        <w:t>пункту</w:t>
      </w:r>
      <w:r w:rsidR="00E95AD0">
        <w:rPr>
          <w:sz w:val="28"/>
          <w:szCs w:val="28"/>
        </w:rPr>
        <w:t xml:space="preserve"> </w:t>
      </w:r>
      <w:hyperlink w:anchor="Par0" w:history="1">
        <w:r w:rsidRPr="004761E0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статьи</w:t>
      </w:r>
      <w:r w:rsidR="004761E0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41389E">
        <w:rPr>
          <w:sz w:val="28"/>
          <w:szCs w:val="28"/>
        </w:rPr>
        <w:t>местного</w:t>
      </w:r>
      <w:r w:rsidR="000C682B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 w:rsidR="000C682B">
        <w:rPr>
          <w:sz w:val="28"/>
          <w:szCs w:val="28"/>
        </w:rPr>
        <w:t xml:space="preserve"> </w:t>
      </w:r>
      <w:r w:rsidR="00BF5C4B">
        <w:rPr>
          <w:sz w:val="28"/>
          <w:szCs w:val="28"/>
        </w:rPr>
        <w:t>Совета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E15DF">
        <w:rPr>
          <w:sz w:val="28"/>
          <w:szCs w:val="28"/>
        </w:rPr>
        <w:t>,</w:t>
      </w:r>
      <w:r w:rsidR="000C682B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>местн</w:t>
      </w:r>
      <w:r w:rsidR="00952981">
        <w:rPr>
          <w:sz w:val="28"/>
          <w:szCs w:val="28"/>
        </w:rPr>
        <w:t>ого</w:t>
      </w:r>
      <w:r w:rsidR="000C682B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DD02CF" w:rsidRPr="00DB4063">
        <w:rPr>
          <w:sz w:val="28"/>
          <w:szCs w:val="28"/>
        </w:rPr>
        <w:t>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</w:t>
      </w:r>
      <w:r w:rsidR="00BF5C4B">
        <w:rPr>
          <w:sz w:val="28"/>
          <w:szCs w:val="28"/>
        </w:rPr>
        <w:t>Советом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 w:rsidR="0041389E">
        <w:rPr>
          <w:sz w:val="28"/>
          <w:szCs w:val="28"/>
        </w:rPr>
        <w:t xml:space="preserve">местного </w:t>
      </w:r>
      <w:r w:rsidR="000D6144">
        <w:rPr>
          <w:sz w:val="28"/>
          <w:szCs w:val="28"/>
        </w:rPr>
        <w:t xml:space="preserve">бюджета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753004">
        <w:rPr>
          <w:i/>
          <w:sz w:val="28"/>
          <w:szCs w:val="28"/>
        </w:rPr>
        <w:t>.</w:t>
      </w:r>
    </w:p>
    <w:p w:rsidR="00827F92" w:rsidRDefault="005B3DF8" w:rsidP="0082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1EF1">
        <w:rPr>
          <w:sz w:val="28"/>
          <w:szCs w:val="28"/>
        </w:rPr>
        <w:t>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Default="005B3DF8" w:rsidP="0082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92A0B">
        <w:rPr>
          <w:sz w:val="28"/>
          <w:szCs w:val="28"/>
        </w:rPr>
        <w:t>Муниципальным правовым актом представительного органа</w:t>
      </w:r>
      <w:r w:rsidR="000C682B">
        <w:rPr>
          <w:sz w:val="28"/>
          <w:szCs w:val="28"/>
        </w:rPr>
        <w:t xml:space="preserve"> </w:t>
      </w:r>
      <w:r w:rsidR="00BF5C4B" w:rsidRPr="004A7D7C">
        <w:rPr>
          <w:sz w:val="28"/>
          <w:szCs w:val="28"/>
        </w:rPr>
        <w:t>муниципально</w:t>
      </w:r>
      <w:r w:rsidR="00BF5C4B">
        <w:rPr>
          <w:sz w:val="28"/>
          <w:szCs w:val="28"/>
        </w:rPr>
        <w:t>го</w:t>
      </w:r>
      <w:r w:rsidR="00BF5C4B" w:rsidRPr="004A7D7C">
        <w:rPr>
          <w:sz w:val="28"/>
          <w:szCs w:val="28"/>
        </w:rPr>
        <w:t xml:space="preserve"> образовани</w:t>
      </w:r>
      <w:r w:rsidR="00BF5C4B">
        <w:rPr>
          <w:sz w:val="28"/>
          <w:szCs w:val="28"/>
        </w:rPr>
        <w:t>я</w:t>
      </w:r>
      <w:r w:rsidR="00BF5C4B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492A0B">
        <w:rPr>
          <w:sz w:val="28"/>
          <w:szCs w:val="28"/>
        </w:rPr>
        <w:t xml:space="preserve">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</w:t>
      </w:r>
      <w:r w:rsidR="00492A0B">
        <w:rPr>
          <w:sz w:val="28"/>
          <w:szCs w:val="28"/>
        </w:rPr>
        <w:lastRenderedPageBreak/>
        <w:t>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Default="00492A0B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>
        <w:rPr>
          <w:sz w:val="28"/>
          <w:szCs w:val="28"/>
        </w:rPr>
        <w:t>на 1 января года</w:t>
      </w:r>
      <w:r w:rsidR="00827F92" w:rsidRPr="00DB4063">
        <w:rPr>
          <w:sz w:val="28"/>
          <w:szCs w:val="28"/>
        </w:rPr>
        <w:t xml:space="preserve">, следующего за очередным финансовым годом </w:t>
      </w:r>
      <w:r w:rsidR="00827F92" w:rsidRPr="00AB0B25">
        <w:rPr>
          <w:sz w:val="28"/>
          <w:szCs w:val="28"/>
        </w:rPr>
        <w:t>(очередным финансовым годом и каждым годом планового периода)</w:t>
      </w:r>
      <w:r w:rsidR="00827F92" w:rsidRPr="00DB4063">
        <w:rPr>
          <w:sz w:val="28"/>
          <w:szCs w:val="28"/>
        </w:rPr>
        <w:t xml:space="preserve"> среднесрочного финансового плана,</w:t>
      </w:r>
      <w:r w:rsidR="000C6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.</w:t>
      </w:r>
      <w:r w:rsidR="000C682B">
        <w:rPr>
          <w:sz w:val="28"/>
          <w:szCs w:val="28"/>
        </w:rPr>
        <w:t xml:space="preserve"> </w:t>
      </w:r>
      <w:r w:rsidR="00753004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Default="00753004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муниципального образования, в отношении которого осуществляются меры, предусмотренны</w:t>
      </w:r>
      <w:r w:rsidRPr="00753004">
        <w:rPr>
          <w:sz w:val="28"/>
          <w:szCs w:val="28"/>
        </w:rPr>
        <w:t xml:space="preserve">е </w:t>
      </w:r>
      <w:hyperlink r:id="rId15" w:history="1">
        <w:r w:rsidRPr="00753004">
          <w:rPr>
            <w:sz w:val="28"/>
            <w:szCs w:val="28"/>
          </w:rPr>
          <w:t>пунктом 4 статьи 136</w:t>
        </w:r>
      </w:hyperlink>
      <w:r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Default="005F1A4B" w:rsidP="0075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0C682B">
        <w:rPr>
          <w:sz w:val="28"/>
          <w:szCs w:val="28"/>
        </w:rPr>
        <w:t xml:space="preserve"> </w:t>
      </w:r>
      <w:r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="00753004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DB4063" w:rsidRDefault="00C6097E" w:rsidP="00D35C71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705107" w:rsidRPr="004A7D7C">
        <w:rPr>
          <w:sz w:val="28"/>
          <w:szCs w:val="28"/>
        </w:rPr>
        <w:t>муниципально</w:t>
      </w:r>
      <w:r w:rsidR="00705107">
        <w:rPr>
          <w:sz w:val="28"/>
          <w:szCs w:val="28"/>
        </w:rPr>
        <w:t>го</w:t>
      </w:r>
      <w:r w:rsidR="00705107" w:rsidRPr="004A7D7C">
        <w:rPr>
          <w:sz w:val="28"/>
          <w:szCs w:val="28"/>
        </w:rPr>
        <w:t xml:space="preserve"> образовани</w:t>
      </w:r>
      <w:r w:rsidR="00705107">
        <w:rPr>
          <w:sz w:val="28"/>
          <w:szCs w:val="28"/>
        </w:rPr>
        <w:t>я</w:t>
      </w:r>
      <w:r w:rsidR="00705107" w:rsidRPr="004A7D7C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C682B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34630A">
        <w:rPr>
          <w:sz w:val="28"/>
          <w:szCs w:val="28"/>
        </w:rPr>
        <w:t xml:space="preserve">управлением  </w:t>
      </w:r>
      <w:r w:rsidR="00D36590">
        <w:rPr>
          <w:sz w:val="28"/>
          <w:szCs w:val="28"/>
        </w:rPr>
        <w:t>Администрации</w:t>
      </w:r>
      <w:r w:rsidR="0034630A" w:rsidRPr="005B185C">
        <w:rPr>
          <w:sz w:val="28"/>
          <w:szCs w:val="28"/>
        </w:rPr>
        <w:t xml:space="preserve"> </w:t>
      </w:r>
      <w:r w:rsidR="0034630A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3387E">
        <w:rPr>
          <w:sz w:val="28"/>
          <w:szCs w:val="28"/>
        </w:rPr>
        <w:t>характеристику основных параметров среднесрочного финансового плана;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3387E">
        <w:rPr>
          <w:sz w:val="28"/>
          <w:szCs w:val="28"/>
        </w:rPr>
        <w:t>анализ влияющих на них факторов и условий;</w:t>
      </w:r>
    </w:p>
    <w:p w:rsidR="0093387E" w:rsidRPr="0093387E" w:rsidRDefault="0093387E" w:rsidP="0093387E">
      <w:pPr>
        <w:ind w:firstLine="709"/>
        <w:jc w:val="both"/>
        <w:rPr>
          <w:sz w:val="28"/>
          <w:szCs w:val="28"/>
        </w:rPr>
      </w:pPr>
      <w:r w:rsidRPr="0093387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93387E">
        <w:rPr>
          <w:sz w:val="28"/>
          <w:szCs w:val="28"/>
        </w:rPr>
        <w:t>причины изменений ранее утвержденных основных показателей среднесрочного финансового плана;</w:t>
      </w:r>
    </w:p>
    <w:p w:rsidR="00C6097E" w:rsidRPr="00DB4063" w:rsidRDefault="0093387E" w:rsidP="00966519">
      <w:pPr>
        <w:ind w:firstLine="709"/>
        <w:jc w:val="both"/>
        <w:rPr>
          <w:sz w:val="28"/>
          <w:szCs w:val="28"/>
        </w:rPr>
      </w:pPr>
      <w:r w:rsidRPr="009338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3387E">
        <w:rPr>
          <w:sz w:val="28"/>
          <w:szCs w:val="28"/>
        </w:rPr>
        <w:t>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B047F4" w:rsidRDefault="00C6097E" w:rsidP="00966519">
      <w:pPr>
        <w:ind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DB4063">
        <w:rPr>
          <w:sz w:val="28"/>
          <w:szCs w:val="28"/>
        </w:rPr>
        <w:t xml:space="preserve">финансовым </w:t>
      </w:r>
      <w:r w:rsidR="0034630A" w:rsidRPr="00DB4063">
        <w:rPr>
          <w:sz w:val="28"/>
          <w:szCs w:val="28"/>
        </w:rPr>
        <w:t xml:space="preserve"> </w:t>
      </w:r>
      <w:r w:rsidR="0034630A">
        <w:rPr>
          <w:sz w:val="28"/>
          <w:szCs w:val="28"/>
        </w:rPr>
        <w:t xml:space="preserve">управлением  </w:t>
      </w:r>
      <w:r w:rsidR="00D36590">
        <w:rPr>
          <w:sz w:val="28"/>
          <w:szCs w:val="28"/>
        </w:rPr>
        <w:t>Администрации</w:t>
      </w:r>
      <w:r w:rsidR="0034630A" w:rsidRPr="005B185C">
        <w:rPr>
          <w:sz w:val="28"/>
          <w:szCs w:val="28"/>
        </w:rPr>
        <w:t xml:space="preserve"> </w:t>
      </w:r>
      <w:r w:rsidR="0034630A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4630A" w:rsidRPr="00DB4063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на рассмотрение и утверждение </w:t>
      </w:r>
      <w:r w:rsidR="00A43B2B">
        <w:rPr>
          <w:sz w:val="28"/>
          <w:szCs w:val="28"/>
        </w:rPr>
        <w:t xml:space="preserve">в </w:t>
      </w:r>
      <w:r w:rsidR="00D36590">
        <w:rPr>
          <w:sz w:val="28"/>
          <w:szCs w:val="28"/>
        </w:rPr>
        <w:t>Администрацию</w:t>
      </w:r>
      <w:r w:rsidR="000C682B">
        <w:rPr>
          <w:sz w:val="28"/>
          <w:szCs w:val="28"/>
        </w:rPr>
        <w:t xml:space="preserve"> </w:t>
      </w:r>
      <w:r w:rsidR="006042B7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6042B7" w:rsidRPr="00DB4063">
        <w:rPr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983B51">
          <w:headerReference w:type="first" r:id="rId16"/>
          <w:pgSz w:w="11906" w:h="16838" w:code="9"/>
          <w:pgMar w:top="1134" w:right="567" w:bottom="993" w:left="1560" w:header="426" w:footer="709" w:gutter="0"/>
          <w:pgNumType w:start="1"/>
          <w:cols w:space="708"/>
          <w:titlePg/>
          <w:docGrid w:linePitch="360"/>
        </w:sectPr>
      </w:pP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lastRenderedPageBreak/>
        <w:t>Приложение</w:t>
      </w:r>
    </w:p>
    <w:p w:rsidR="00F1446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к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 xml:space="preserve"> Порядку</w:t>
      </w:r>
      <w:r w:rsidR="00F14466">
        <w:rPr>
          <w:sz w:val="28"/>
          <w:szCs w:val="28"/>
        </w:rPr>
        <w:t xml:space="preserve"> </w:t>
      </w:r>
      <w:r w:rsidR="00826DB7" w:rsidRPr="00FB5B36">
        <w:rPr>
          <w:sz w:val="28"/>
          <w:szCs w:val="28"/>
        </w:rPr>
        <w:t>формирования</w:t>
      </w:r>
      <w:r w:rsidRPr="00FB5B36">
        <w:rPr>
          <w:sz w:val="28"/>
          <w:szCs w:val="28"/>
        </w:rPr>
        <w:t xml:space="preserve"> </w:t>
      </w: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среднесрочного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>финансового плана</w:t>
      </w:r>
    </w:p>
    <w:p w:rsidR="00AD71A5" w:rsidRDefault="00FB5B36" w:rsidP="000C682B">
      <w:pPr>
        <w:ind w:left="4962"/>
        <w:rPr>
          <w:sz w:val="28"/>
          <w:szCs w:val="28"/>
        </w:rPr>
      </w:pPr>
      <w:r>
        <w:rPr>
          <w:sz w:val="28"/>
          <w:szCs w:val="28"/>
        </w:rPr>
        <w:t>ф</w:t>
      </w:r>
      <w:r w:rsidR="00AD71A5" w:rsidRPr="00FB5B36">
        <w:rPr>
          <w:sz w:val="28"/>
          <w:szCs w:val="28"/>
        </w:rPr>
        <w:t>орма среднесрочного</w:t>
      </w:r>
      <w:r w:rsidR="00F14466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финансового</w:t>
      </w:r>
      <w:r w:rsidR="000C682B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плана</w:t>
      </w:r>
    </w:p>
    <w:p w:rsidR="000C682B" w:rsidRDefault="000C682B" w:rsidP="000C682B">
      <w:pPr>
        <w:ind w:left="4962"/>
        <w:rPr>
          <w:sz w:val="28"/>
          <w:szCs w:val="28"/>
        </w:rPr>
      </w:pPr>
    </w:p>
    <w:p w:rsidR="0034630A" w:rsidRPr="00A43B2B" w:rsidRDefault="0034630A" w:rsidP="000C682B">
      <w:pPr>
        <w:ind w:left="4962"/>
        <w:rPr>
          <w:sz w:val="28"/>
          <w:szCs w:val="28"/>
        </w:rPr>
      </w:pP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1" w:name="Par85"/>
      <w:bookmarkEnd w:id="1"/>
      <w:r w:rsidRPr="000A2E60">
        <w:rPr>
          <w:sz w:val="28"/>
          <w:szCs w:val="28"/>
        </w:rPr>
        <w:t>СРЕДНЕСРОЧНЫЙ ФИНАНСОВЫЙ ПЛАН</w:t>
      </w:r>
    </w:p>
    <w:p w:rsidR="00536864" w:rsidRDefault="00536864" w:rsidP="00536864">
      <w:pPr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E95AD0" w:rsidRPr="00CF3C35" w:rsidRDefault="00AD71A5" w:rsidP="00E95AD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bookmarkStart w:id="2" w:name="Par88"/>
      <w:bookmarkEnd w:id="2"/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E95AD0" w:rsidRPr="00E95AD0">
        <w:rPr>
          <w:sz w:val="28"/>
          <w:szCs w:val="28"/>
        </w:rPr>
        <w:t xml:space="preserve"> </w:t>
      </w:r>
      <w:r w:rsidR="00E95AD0">
        <w:rPr>
          <w:sz w:val="28"/>
          <w:szCs w:val="28"/>
        </w:rPr>
        <w:t>на ____ год и плановый период ____ и ____ годов</w:t>
      </w:r>
    </w:p>
    <w:p w:rsidR="000606E0" w:rsidRPr="003B390E" w:rsidRDefault="000C682B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D71A5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p w:rsidR="000F42C3" w:rsidRPr="005668CA" w:rsidRDefault="000F42C3" w:rsidP="000F42C3">
      <w:pPr>
        <w:widowControl w:val="0"/>
        <w:tabs>
          <w:tab w:val="left" w:pos="768"/>
        </w:tabs>
        <w:autoSpaceDE w:val="0"/>
        <w:autoSpaceDN w:val="0"/>
        <w:adjustRightInd w:val="0"/>
        <w:spacing w:line="24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0F42C3" w:rsidRPr="00A43B2B" w:rsidTr="00BB41CD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0F42C3" w:rsidRPr="00A43B2B" w:rsidRDefault="000F42C3" w:rsidP="00BB41CD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0F42C3" w:rsidRPr="00A43B2B" w:rsidTr="00BB41CD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4</w:t>
            </w: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безвозмездные поступления от других</w:t>
            </w:r>
          </w:p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2C3" w:rsidRPr="00A43B2B" w:rsidTr="00BB41CD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A43B2B" w:rsidRDefault="000F42C3" w:rsidP="00BB41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F42C3" w:rsidRPr="00C61D12" w:rsidRDefault="000F42C3" w:rsidP="00BB41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E13965" w:rsidRDefault="00E13965" w:rsidP="00E13965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0C682B" w:rsidRDefault="000C682B" w:rsidP="00E13965">
      <w:pPr>
        <w:ind w:firstLine="709"/>
        <w:jc w:val="right"/>
        <w:rPr>
          <w:sz w:val="28"/>
          <w:szCs w:val="28"/>
        </w:rPr>
      </w:pPr>
    </w:p>
    <w:p w:rsidR="0034630A" w:rsidRPr="005668CA" w:rsidRDefault="0034630A" w:rsidP="00E13965">
      <w:pPr>
        <w:ind w:firstLine="709"/>
        <w:jc w:val="right"/>
        <w:rPr>
          <w:sz w:val="28"/>
          <w:szCs w:val="28"/>
        </w:rPr>
      </w:pP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  <w:r w:rsidRPr="00C41946">
        <w:rPr>
          <w:rFonts w:eastAsia="Calibr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  <w:r w:rsidRPr="00750660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Pr="00750660">
        <w:rPr>
          <w:sz w:val="28"/>
          <w:szCs w:val="28"/>
        </w:rPr>
        <w:t xml:space="preserve"> городской округ город Красный Луч </w:t>
      </w:r>
    </w:p>
    <w:p w:rsidR="00E95AD0" w:rsidRPr="00CF3C35" w:rsidRDefault="00E13965" w:rsidP="00E95AD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750660">
        <w:rPr>
          <w:sz w:val="28"/>
          <w:szCs w:val="28"/>
        </w:rPr>
        <w:t>Луганской Народной Республики</w:t>
      </w:r>
      <w:r w:rsidR="00E95AD0" w:rsidRPr="00E95AD0">
        <w:rPr>
          <w:sz w:val="28"/>
          <w:szCs w:val="28"/>
        </w:rPr>
        <w:t xml:space="preserve"> </w:t>
      </w:r>
      <w:r w:rsidR="00E95AD0">
        <w:rPr>
          <w:sz w:val="28"/>
          <w:szCs w:val="28"/>
        </w:rPr>
        <w:t>на ____ год и плановый период ____ и ____ годов</w:t>
      </w:r>
    </w:p>
    <w:p w:rsidR="00E13965" w:rsidRDefault="00E13965" w:rsidP="00E13965">
      <w:pPr>
        <w:ind w:firstLine="709"/>
        <w:jc w:val="center"/>
        <w:rPr>
          <w:sz w:val="28"/>
          <w:szCs w:val="28"/>
        </w:rPr>
      </w:pPr>
    </w:p>
    <w:p w:rsidR="00E13965" w:rsidRPr="005729C4" w:rsidRDefault="00E13965" w:rsidP="00E13965">
      <w:pPr>
        <w:widowControl w:val="0"/>
        <w:autoSpaceDE w:val="0"/>
        <w:autoSpaceDN w:val="0"/>
        <w:adjustRightInd w:val="0"/>
        <w:jc w:val="center"/>
        <w:rPr>
          <w:sz w:val="16"/>
        </w:rPr>
      </w:pPr>
    </w:p>
    <w:p w:rsidR="00E13965" w:rsidRDefault="00E13965" w:rsidP="00E13965">
      <w:pPr>
        <w:widowControl w:val="0"/>
        <w:autoSpaceDE w:val="0"/>
        <w:autoSpaceDN w:val="0"/>
        <w:adjustRightInd w:val="0"/>
        <w:jc w:val="right"/>
      </w:pPr>
      <w:r w:rsidRPr="00157FB9"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2126"/>
        <w:gridCol w:w="2127"/>
        <w:gridCol w:w="2126"/>
      </w:tblGrid>
      <w:tr w:rsidR="00E13965" w:rsidRPr="00C41946" w:rsidTr="00BB41CD">
        <w:trPr>
          <w:trHeight w:val="427"/>
        </w:trPr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E13965" w:rsidRPr="00C41946" w:rsidTr="00BB41CD">
        <w:trPr>
          <w:trHeight w:val="28"/>
        </w:trPr>
        <w:tc>
          <w:tcPr>
            <w:tcW w:w="3823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13965" w:rsidRPr="00AC747B" w:rsidRDefault="00E13965" w:rsidP="00BB4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41946" w:rsidRDefault="00C41946" w:rsidP="00C41946">
      <w:pPr>
        <w:pStyle w:val="ConsPlusNormal"/>
        <w:jc w:val="right"/>
      </w:pPr>
    </w:p>
    <w:p w:rsidR="0034630A" w:rsidRDefault="0034630A" w:rsidP="00C41946">
      <w:pPr>
        <w:pStyle w:val="ConsPlusNormal"/>
        <w:jc w:val="right"/>
      </w:pPr>
    </w:p>
    <w:p w:rsidR="0034630A" w:rsidRDefault="0034630A" w:rsidP="00C41946">
      <w:pPr>
        <w:pStyle w:val="ConsPlusNormal"/>
        <w:jc w:val="right"/>
      </w:pPr>
    </w:p>
    <w:p w:rsidR="00C41946" w:rsidRPr="005668CA" w:rsidRDefault="00E95AD0" w:rsidP="00E95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41946" w:rsidRPr="005668CA">
        <w:rPr>
          <w:sz w:val="28"/>
          <w:szCs w:val="28"/>
        </w:rPr>
        <w:t>Таблица 3</w:t>
      </w:r>
    </w:p>
    <w:p w:rsidR="007E7EFF" w:rsidRDefault="007E7EFF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34630A" w:rsidRDefault="0034630A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Pr="00CF3C35" w:rsidRDefault="007E7EFF" w:rsidP="007E7EF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7E7EFF" w:rsidRDefault="003A4F4E" w:rsidP="007E7E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F4E">
        <w:rPr>
          <w:sz w:val="28"/>
          <w:szCs w:val="28"/>
        </w:rPr>
        <w:t>м</w:t>
      </w:r>
      <w:r w:rsidR="007E7EFF" w:rsidRPr="003A4F4E">
        <w:rPr>
          <w:sz w:val="28"/>
          <w:szCs w:val="28"/>
        </w:rPr>
        <w:t>униципально</w:t>
      </w:r>
      <w:r w:rsidR="007E7EFF">
        <w:rPr>
          <w:sz w:val="28"/>
          <w:szCs w:val="28"/>
        </w:rPr>
        <w:t>го</w:t>
      </w:r>
      <w:r w:rsidR="007E7EFF" w:rsidRPr="00750660">
        <w:rPr>
          <w:sz w:val="28"/>
          <w:szCs w:val="28"/>
        </w:rPr>
        <w:t xml:space="preserve"> образовани</w:t>
      </w:r>
      <w:r w:rsidR="007E7EFF">
        <w:rPr>
          <w:sz w:val="28"/>
          <w:szCs w:val="28"/>
        </w:rPr>
        <w:t>я</w:t>
      </w:r>
      <w:r w:rsidR="007E7EFF" w:rsidRPr="00750660">
        <w:rPr>
          <w:sz w:val="28"/>
          <w:szCs w:val="28"/>
        </w:rPr>
        <w:t xml:space="preserve"> городской округ город Красный Луч Луганской Народной Республики  </w:t>
      </w:r>
      <w:r w:rsidR="00D36590">
        <w:rPr>
          <w:sz w:val="28"/>
          <w:szCs w:val="28"/>
        </w:rPr>
        <w:t>Администрация</w:t>
      </w:r>
      <w:r w:rsidR="007E7EFF" w:rsidRPr="00750660">
        <w:rPr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</w:t>
      </w:r>
    </w:p>
    <w:p w:rsidR="007E7EFF" w:rsidRPr="00CF3C35" w:rsidRDefault="007E7EFF" w:rsidP="007E7EF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на </w:t>
      </w:r>
      <w:r w:rsidR="00E95AD0">
        <w:rPr>
          <w:sz w:val="28"/>
          <w:szCs w:val="28"/>
        </w:rPr>
        <w:t>____</w:t>
      </w:r>
      <w:r>
        <w:rPr>
          <w:sz w:val="28"/>
          <w:szCs w:val="28"/>
        </w:rPr>
        <w:t xml:space="preserve"> год и плановый период </w:t>
      </w:r>
      <w:r w:rsidR="00E95AD0">
        <w:rPr>
          <w:sz w:val="28"/>
          <w:szCs w:val="28"/>
        </w:rPr>
        <w:t>____</w:t>
      </w:r>
      <w:r>
        <w:rPr>
          <w:sz w:val="28"/>
          <w:szCs w:val="28"/>
        </w:rPr>
        <w:t xml:space="preserve"> и </w:t>
      </w:r>
      <w:r w:rsidR="00E95AD0">
        <w:rPr>
          <w:sz w:val="28"/>
          <w:szCs w:val="28"/>
        </w:rPr>
        <w:t>____</w:t>
      </w:r>
      <w:r>
        <w:rPr>
          <w:sz w:val="28"/>
          <w:szCs w:val="28"/>
        </w:rPr>
        <w:t xml:space="preserve"> годов</w:t>
      </w:r>
    </w:p>
    <w:p w:rsidR="007E7EFF" w:rsidRPr="005729C4" w:rsidRDefault="007E7EFF" w:rsidP="007E7EFF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E7EFF" w:rsidRDefault="007E7EFF" w:rsidP="007E7EF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3144"/>
        <w:gridCol w:w="1560"/>
        <w:gridCol w:w="1493"/>
        <w:gridCol w:w="1483"/>
        <w:gridCol w:w="1701"/>
      </w:tblGrid>
      <w:tr w:rsidR="007E7EFF" w:rsidTr="005D150C">
        <w:trPr>
          <w:trHeight w:val="24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N</w:t>
            </w:r>
          </w:p>
        </w:tc>
        <w:tc>
          <w:tcPr>
            <w:tcW w:w="31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Код раздела, подраздела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очередной финансовый год, тыс. руб.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1 год планового периода,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Прогноз на 2 год планового периода, тыс. руб.</w:t>
            </w:r>
          </w:p>
        </w:tc>
      </w:tr>
      <w:tr w:rsidR="007E7EFF" w:rsidTr="005D150C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п/п</w:t>
            </w: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7EFF" w:rsidRPr="00435003" w:rsidRDefault="007E7EFF" w:rsidP="005D150C">
            <w:pPr>
              <w:rPr>
                <w:color w:val="000000"/>
              </w:rPr>
            </w:pPr>
          </w:p>
        </w:tc>
      </w:tr>
      <w:tr w:rsidR="007E7EFF" w:rsidTr="005D150C">
        <w:trPr>
          <w:trHeight w:val="312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7EFF" w:rsidRPr="00435003" w:rsidRDefault="007E7EFF" w:rsidP="005D150C">
            <w:pPr>
              <w:jc w:val="center"/>
              <w:rPr>
                <w:color w:val="000000"/>
              </w:rPr>
            </w:pPr>
            <w:r w:rsidRPr="00435003">
              <w:rPr>
                <w:color w:val="000000"/>
              </w:rPr>
              <w:t>6</w:t>
            </w:r>
          </w:p>
        </w:tc>
      </w:tr>
    </w:tbl>
    <w:p w:rsidR="00867EAA" w:rsidRDefault="00867EA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630A" w:rsidRDefault="0034630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630A" w:rsidRPr="005668CA" w:rsidRDefault="0034630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3" w:name="P219"/>
      <w:bookmarkStart w:id="4" w:name="P262"/>
      <w:bookmarkEnd w:id="3"/>
      <w:bookmarkEnd w:id="4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bookmarkStart w:id="5" w:name="P298"/>
      <w:bookmarkStart w:id="6" w:name="P355"/>
      <w:bookmarkStart w:id="7" w:name="P395"/>
      <w:bookmarkStart w:id="8" w:name="P422"/>
      <w:bookmarkEnd w:id="5"/>
      <w:bookmarkEnd w:id="6"/>
      <w:bookmarkEnd w:id="7"/>
      <w:bookmarkEnd w:id="8"/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A90883" w:rsidRDefault="00A90883" w:rsidP="00A908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F4E">
        <w:rPr>
          <w:sz w:val="28"/>
          <w:szCs w:val="28"/>
        </w:rPr>
        <w:t>Муни</w:t>
      </w:r>
      <w:r w:rsidRPr="00750660">
        <w:rPr>
          <w:sz w:val="28"/>
          <w:szCs w:val="28"/>
        </w:rPr>
        <w:t>ципально</w:t>
      </w:r>
      <w:r>
        <w:rPr>
          <w:sz w:val="28"/>
          <w:szCs w:val="28"/>
        </w:rPr>
        <w:t>го</w:t>
      </w:r>
      <w:r w:rsidRPr="007506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50660">
        <w:rPr>
          <w:sz w:val="28"/>
          <w:szCs w:val="28"/>
        </w:rPr>
        <w:t xml:space="preserve"> городской округ город Красный Луч Луганской Народной Республики  </w:t>
      </w:r>
      <w:r w:rsidR="00D36590">
        <w:rPr>
          <w:sz w:val="28"/>
          <w:szCs w:val="28"/>
        </w:rPr>
        <w:t>Администрация</w:t>
      </w:r>
      <w:r w:rsidRPr="00750660">
        <w:rPr>
          <w:sz w:val="28"/>
          <w:szCs w:val="28"/>
        </w:rPr>
        <w:t xml:space="preserve"> городского округа муниципальное </w:t>
      </w:r>
      <w:r w:rsidRPr="00750660">
        <w:rPr>
          <w:sz w:val="28"/>
          <w:szCs w:val="28"/>
        </w:rPr>
        <w:lastRenderedPageBreak/>
        <w:t xml:space="preserve">образование городской округ город Красный Луч Луганской Народной Республики 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на 2024 год и плановый период 2025 и 2026 </w:t>
      </w:r>
      <w:r w:rsidRPr="00CF3C35">
        <w:rPr>
          <w:rFonts w:eastAsiaTheme="minorHAnsi"/>
          <w:sz w:val="28"/>
          <w:lang w:eastAsia="en-US"/>
        </w:rPr>
        <w:t>годов</w:t>
      </w:r>
    </w:p>
    <w:p w:rsidR="00A90883" w:rsidRPr="005729C4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A90883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35"/>
        <w:gridCol w:w="701"/>
        <w:gridCol w:w="567"/>
        <w:gridCol w:w="567"/>
        <w:gridCol w:w="1317"/>
        <w:gridCol w:w="709"/>
        <w:gridCol w:w="1257"/>
        <w:gridCol w:w="1240"/>
        <w:gridCol w:w="1187"/>
      </w:tblGrid>
      <w:tr w:rsidR="008E5E08" w:rsidTr="00DA6B1C">
        <w:trPr>
          <w:trHeight w:val="1248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Наименование главного </w:t>
            </w:r>
            <w:r w:rsidR="000C682B">
              <w:rPr>
                <w:color w:val="000000"/>
                <w:sz w:val="21"/>
                <w:szCs w:val="21"/>
              </w:rPr>
              <w:t>распорядителя</w:t>
            </w:r>
            <w:r>
              <w:rPr>
                <w:color w:val="000000"/>
                <w:sz w:val="21"/>
                <w:szCs w:val="21"/>
              </w:rPr>
              <w:t xml:space="preserve"> бюджетных средств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Код главного </w:t>
            </w:r>
            <w:r w:rsidR="000C682B">
              <w:rPr>
                <w:color w:val="000000"/>
                <w:sz w:val="21"/>
                <w:szCs w:val="21"/>
              </w:rPr>
              <w:t>распорядителя</w:t>
            </w:r>
            <w:r>
              <w:rPr>
                <w:color w:val="000000"/>
                <w:sz w:val="21"/>
                <w:szCs w:val="21"/>
              </w:rPr>
              <w:t xml:space="preserve"> бюджетных средств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ВР</w:t>
            </w:r>
          </w:p>
        </w:tc>
        <w:tc>
          <w:tcPr>
            <w:tcW w:w="3684" w:type="dxa"/>
            <w:gridSpan w:val="3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Сумма</w:t>
            </w: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936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Очередной финансовый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Первый год планового периода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Второй год планового периода</w:t>
            </w: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516"/>
        </w:trPr>
        <w:tc>
          <w:tcPr>
            <w:tcW w:w="44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8E5E08" w:rsidRDefault="008E5E08">
            <w:pPr>
              <w:rPr>
                <w:color w:val="000000"/>
                <w:sz w:val="21"/>
                <w:szCs w:val="21"/>
              </w:rPr>
            </w:pPr>
          </w:p>
        </w:tc>
      </w:tr>
      <w:tr w:rsidR="008E5E08" w:rsidTr="00DA6B1C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8E5E08" w:rsidRDefault="008E5E0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</w:tbl>
    <w:p w:rsidR="00C41946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62E55" w:rsidRDefault="00962E55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62E55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7C" w:rsidRDefault="0097557C" w:rsidP="00FE58FF">
      <w:r>
        <w:separator/>
      </w:r>
    </w:p>
  </w:endnote>
  <w:endnote w:type="continuationSeparator" w:id="1">
    <w:p w:rsidR="0097557C" w:rsidRDefault="0097557C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7C" w:rsidRDefault="0097557C" w:rsidP="00FE58FF">
      <w:r>
        <w:separator/>
      </w:r>
    </w:p>
  </w:footnote>
  <w:footnote w:type="continuationSeparator" w:id="1">
    <w:p w:rsidR="0097557C" w:rsidRDefault="0097557C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296"/>
      <w:docPartObj>
        <w:docPartGallery w:val="Page Numbers (Top of Page)"/>
        <w:docPartUnique/>
      </w:docPartObj>
    </w:sdtPr>
    <w:sdtContent>
      <w:p w:rsidR="00840F64" w:rsidRDefault="005C61E7">
        <w:pPr>
          <w:pStyle w:val="a9"/>
          <w:jc w:val="center"/>
        </w:pPr>
        <w:fldSimple w:instr=" PAGE   \* MERGEFORMAT ">
          <w:r w:rsidR="00CB0D14">
            <w:rPr>
              <w:noProof/>
            </w:rPr>
            <w:t>9</w:t>
          </w:r>
        </w:fldSimple>
      </w:p>
    </w:sdtContent>
  </w:sdt>
  <w:p w:rsidR="00351145" w:rsidRDefault="0035114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45" w:rsidRDefault="00351145" w:rsidP="00B135EE">
    <w:pPr>
      <w:pStyle w:val="a9"/>
      <w:tabs>
        <w:tab w:val="clear" w:pos="9355"/>
        <w:tab w:val="left" w:pos="8740"/>
      </w:tabs>
    </w:pPr>
    <w:r>
      <w:t xml:space="preserve">                                                                         </w:t>
    </w:r>
    <w:r w:rsidRPr="00800351">
      <w:rPr>
        <w:noProof/>
      </w:rPr>
      <w:drawing>
        <wp:inline distT="0" distB="0" distL="0" distR="0">
          <wp:extent cx="522490" cy="652007"/>
          <wp:effectExtent l="19050" t="0" r="0" b="0"/>
          <wp:docPr id="2" name="Рисунок 4" descr="Герб цв для положе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Герб цв для положения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21223" r="51720"/>
                  <a:stretch>
                    <a:fillRect/>
                  </a:stretch>
                </pic:blipFill>
                <pic:spPr bwMode="auto">
                  <a:xfrm>
                    <a:off x="0" y="0"/>
                    <a:ext cx="526003" cy="65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="00B135EE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51" w:rsidRDefault="00983B51" w:rsidP="00B135EE">
    <w:pPr>
      <w:pStyle w:val="a9"/>
      <w:tabs>
        <w:tab w:val="clear" w:pos="9355"/>
        <w:tab w:val="left" w:pos="8740"/>
      </w:tabs>
    </w:pP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FC2B21"/>
    <w:multiLevelType w:val="hybridMultilevel"/>
    <w:tmpl w:val="F3CC6F96"/>
    <w:lvl w:ilvl="0" w:tplc="4092A72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53656"/>
    <w:rsid w:val="000126D0"/>
    <w:rsid w:val="00040F68"/>
    <w:rsid w:val="000606E0"/>
    <w:rsid w:val="000621F1"/>
    <w:rsid w:val="00077F32"/>
    <w:rsid w:val="000A2E60"/>
    <w:rsid w:val="000C0BB7"/>
    <w:rsid w:val="000C4986"/>
    <w:rsid w:val="000C682B"/>
    <w:rsid w:val="000D173B"/>
    <w:rsid w:val="000D6144"/>
    <w:rsid w:val="000E291E"/>
    <w:rsid w:val="000E7C23"/>
    <w:rsid w:val="000F42C3"/>
    <w:rsid w:val="001072E4"/>
    <w:rsid w:val="00110C27"/>
    <w:rsid w:val="00110D3E"/>
    <w:rsid w:val="0012271A"/>
    <w:rsid w:val="00135384"/>
    <w:rsid w:val="00153B82"/>
    <w:rsid w:val="00157FB9"/>
    <w:rsid w:val="00163E52"/>
    <w:rsid w:val="00181F37"/>
    <w:rsid w:val="00183030"/>
    <w:rsid w:val="001A6E38"/>
    <w:rsid w:val="001A711D"/>
    <w:rsid w:val="001B5245"/>
    <w:rsid w:val="001B7448"/>
    <w:rsid w:val="001C44D8"/>
    <w:rsid w:val="001D6230"/>
    <w:rsid w:val="001D71AE"/>
    <w:rsid w:val="001F226E"/>
    <w:rsid w:val="001F251B"/>
    <w:rsid w:val="00200C77"/>
    <w:rsid w:val="00211B20"/>
    <w:rsid w:val="00215892"/>
    <w:rsid w:val="0022633D"/>
    <w:rsid w:val="00227F52"/>
    <w:rsid w:val="002600A8"/>
    <w:rsid w:val="00260CF7"/>
    <w:rsid w:val="00261EF1"/>
    <w:rsid w:val="0029096F"/>
    <w:rsid w:val="00296DA5"/>
    <w:rsid w:val="002B53CD"/>
    <w:rsid w:val="002B6C01"/>
    <w:rsid w:val="002C2F85"/>
    <w:rsid w:val="002C5A4E"/>
    <w:rsid w:val="002D257D"/>
    <w:rsid w:val="002D32E5"/>
    <w:rsid w:val="002E67D4"/>
    <w:rsid w:val="002E7D58"/>
    <w:rsid w:val="002F0AF6"/>
    <w:rsid w:val="002F2EBC"/>
    <w:rsid w:val="002F50A2"/>
    <w:rsid w:val="002F5D8E"/>
    <w:rsid w:val="002F679F"/>
    <w:rsid w:val="003046A7"/>
    <w:rsid w:val="003071CB"/>
    <w:rsid w:val="00313DBB"/>
    <w:rsid w:val="00314334"/>
    <w:rsid w:val="00316F4C"/>
    <w:rsid w:val="00323E00"/>
    <w:rsid w:val="0032487C"/>
    <w:rsid w:val="00340972"/>
    <w:rsid w:val="0034630A"/>
    <w:rsid w:val="00351145"/>
    <w:rsid w:val="00353D73"/>
    <w:rsid w:val="0037374A"/>
    <w:rsid w:val="003A0F24"/>
    <w:rsid w:val="003A29EA"/>
    <w:rsid w:val="003A2C8E"/>
    <w:rsid w:val="003A4A18"/>
    <w:rsid w:val="003A4F4E"/>
    <w:rsid w:val="003A5290"/>
    <w:rsid w:val="003B390E"/>
    <w:rsid w:val="003F1CF4"/>
    <w:rsid w:val="003F7531"/>
    <w:rsid w:val="00400752"/>
    <w:rsid w:val="00400D06"/>
    <w:rsid w:val="00400FF8"/>
    <w:rsid w:val="00402D29"/>
    <w:rsid w:val="004057FB"/>
    <w:rsid w:val="0040709B"/>
    <w:rsid w:val="00410A93"/>
    <w:rsid w:val="0041389E"/>
    <w:rsid w:val="0042514E"/>
    <w:rsid w:val="004356EB"/>
    <w:rsid w:val="0044715A"/>
    <w:rsid w:val="0045127E"/>
    <w:rsid w:val="00463AE8"/>
    <w:rsid w:val="00464932"/>
    <w:rsid w:val="00473BEB"/>
    <w:rsid w:val="004761E0"/>
    <w:rsid w:val="004870EA"/>
    <w:rsid w:val="00492A0B"/>
    <w:rsid w:val="004C1DD2"/>
    <w:rsid w:val="004C6535"/>
    <w:rsid w:val="004E3E8D"/>
    <w:rsid w:val="004E4EF6"/>
    <w:rsid w:val="004F6A40"/>
    <w:rsid w:val="005010C7"/>
    <w:rsid w:val="00524845"/>
    <w:rsid w:val="005303E9"/>
    <w:rsid w:val="00536864"/>
    <w:rsid w:val="00553656"/>
    <w:rsid w:val="00555C06"/>
    <w:rsid w:val="0056194C"/>
    <w:rsid w:val="005668CA"/>
    <w:rsid w:val="005729C4"/>
    <w:rsid w:val="00574D6D"/>
    <w:rsid w:val="0058432F"/>
    <w:rsid w:val="00593E1B"/>
    <w:rsid w:val="005B3DF8"/>
    <w:rsid w:val="005B6C03"/>
    <w:rsid w:val="005C61E7"/>
    <w:rsid w:val="005D150C"/>
    <w:rsid w:val="005D3D97"/>
    <w:rsid w:val="005D64E5"/>
    <w:rsid w:val="005F1A4B"/>
    <w:rsid w:val="006042B7"/>
    <w:rsid w:val="00604CE3"/>
    <w:rsid w:val="0060796A"/>
    <w:rsid w:val="00616E35"/>
    <w:rsid w:val="00636912"/>
    <w:rsid w:val="00642E76"/>
    <w:rsid w:val="00646B83"/>
    <w:rsid w:val="00654EB6"/>
    <w:rsid w:val="00655E85"/>
    <w:rsid w:val="006562F1"/>
    <w:rsid w:val="006638AC"/>
    <w:rsid w:val="006710D9"/>
    <w:rsid w:val="006822FD"/>
    <w:rsid w:val="006857B8"/>
    <w:rsid w:val="00685EB6"/>
    <w:rsid w:val="00686286"/>
    <w:rsid w:val="00692C6A"/>
    <w:rsid w:val="00693479"/>
    <w:rsid w:val="006939BC"/>
    <w:rsid w:val="006A6B0D"/>
    <w:rsid w:val="006B1CA2"/>
    <w:rsid w:val="006B32E2"/>
    <w:rsid w:val="006C5E84"/>
    <w:rsid w:val="006C6FBB"/>
    <w:rsid w:val="006F3726"/>
    <w:rsid w:val="006F4077"/>
    <w:rsid w:val="00702CDA"/>
    <w:rsid w:val="00705107"/>
    <w:rsid w:val="0070592B"/>
    <w:rsid w:val="0071505A"/>
    <w:rsid w:val="0072070C"/>
    <w:rsid w:val="00722FE2"/>
    <w:rsid w:val="00740E4A"/>
    <w:rsid w:val="00750660"/>
    <w:rsid w:val="00753004"/>
    <w:rsid w:val="00767F10"/>
    <w:rsid w:val="00767FA2"/>
    <w:rsid w:val="007B16D6"/>
    <w:rsid w:val="007B69C8"/>
    <w:rsid w:val="007C3418"/>
    <w:rsid w:val="007C73BF"/>
    <w:rsid w:val="007C7AD6"/>
    <w:rsid w:val="007D1780"/>
    <w:rsid w:val="007E164E"/>
    <w:rsid w:val="007E7EFF"/>
    <w:rsid w:val="007F3311"/>
    <w:rsid w:val="00800351"/>
    <w:rsid w:val="00811047"/>
    <w:rsid w:val="00813B9A"/>
    <w:rsid w:val="00815A4B"/>
    <w:rsid w:val="00826DB7"/>
    <w:rsid w:val="00827F92"/>
    <w:rsid w:val="0083312D"/>
    <w:rsid w:val="008340E5"/>
    <w:rsid w:val="0084008D"/>
    <w:rsid w:val="00840F64"/>
    <w:rsid w:val="00842EC9"/>
    <w:rsid w:val="00844D8B"/>
    <w:rsid w:val="00850EAF"/>
    <w:rsid w:val="00866C70"/>
    <w:rsid w:val="00867EAA"/>
    <w:rsid w:val="008A782F"/>
    <w:rsid w:val="008E1376"/>
    <w:rsid w:val="008E5E08"/>
    <w:rsid w:val="008F1AA1"/>
    <w:rsid w:val="008F750E"/>
    <w:rsid w:val="009166DC"/>
    <w:rsid w:val="0091799B"/>
    <w:rsid w:val="00920919"/>
    <w:rsid w:val="00921E04"/>
    <w:rsid w:val="00927468"/>
    <w:rsid w:val="0093006A"/>
    <w:rsid w:val="0093387E"/>
    <w:rsid w:val="00942106"/>
    <w:rsid w:val="00943325"/>
    <w:rsid w:val="009457CA"/>
    <w:rsid w:val="00952981"/>
    <w:rsid w:val="00962E55"/>
    <w:rsid w:val="00966519"/>
    <w:rsid w:val="0097557C"/>
    <w:rsid w:val="00983B51"/>
    <w:rsid w:val="009B4429"/>
    <w:rsid w:val="009B779A"/>
    <w:rsid w:val="009C1C65"/>
    <w:rsid w:val="009D1573"/>
    <w:rsid w:val="009F6D9F"/>
    <w:rsid w:val="009F7D84"/>
    <w:rsid w:val="00A060A3"/>
    <w:rsid w:val="00A11F61"/>
    <w:rsid w:val="00A33B13"/>
    <w:rsid w:val="00A43B2B"/>
    <w:rsid w:val="00A56125"/>
    <w:rsid w:val="00A63510"/>
    <w:rsid w:val="00A71FEE"/>
    <w:rsid w:val="00A77D96"/>
    <w:rsid w:val="00A83BAA"/>
    <w:rsid w:val="00A90883"/>
    <w:rsid w:val="00A916D1"/>
    <w:rsid w:val="00AA21A7"/>
    <w:rsid w:val="00AA45CA"/>
    <w:rsid w:val="00AB0B25"/>
    <w:rsid w:val="00AC22D5"/>
    <w:rsid w:val="00AD1403"/>
    <w:rsid w:val="00AD5AD1"/>
    <w:rsid w:val="00AD71A5"/>
    <w:rsid w:val="00B047F4"/>
    <w:rsid w:val="00B135EE"/>
    <w:rsid w:val="00B25D7A"/>
    <w:rsid w:val="00B410E9"/>
    <w:rsid w:val="00B60CA4"/>
    <w:rsid w:val="00B8406B"/>
    <w:rsid w:val="00B94C47"/>
    <w:rsid w:val="00B97525"/>
    <w:rsid w:val="00BA4824"/>
    <w:rsid w:val="00BB41CD"/>
    <w:rsid w:val="00BD106B"/>
    <w:rsid w:val="00BE15DF"/>
    <w:rsid w:val="00BE1887"/>
    <w:rsid w:val="00BE3C22"/>
    <w:rsid w:val="00BE47CD"/>
    <w:rsid w:val="00BE47CE"/>
    <w:rsid w:val="00BE7AF3"/>
    <w:rsid w:val="00BE7CE9"/>
    <w:rsid w:val="00BF5C4B"/>
    <w:rsid w:val="00C12977"/>
    <w:rsid w:val="00C22A40"/>
    <w:rsid w:val="00C24840"/>
    <w:rsid w:val="00C25067"/>
    <w:rsid w:val="00C25C7E"/>
    <w:rsid w:val="00C30833"/>
    <w:rsid w:val="00C33353"/>
    <w:rsid w:val="00C41946"/>
    <w:rsid w:val="00C6097E"/>
    <w:rsid w:val="00C71118"/>
    <w:rsid w:val="00C76BFE"/>
    <w:rsid w:val="00C77B11"/>
    <w:rsid w:val="00CB0D14"/>
    <w:rsid w:val="00CC185E"/>
    <w:rsid w:val="00CD1A99"/>
    <w:rsid w:val="00CD2EC8"/>
    <w:rsid w:val="00CD4112"/>
    <w:rsid w:val="00CE4D78"/>
    <w:rsid w:val="00CE60A2"/>
    <w:rsid w:val="00CF3C35"/>
    <w:rsid w:val="00CF7544"/>
    <w:rsid w:val="00D05C75"/>
    <w:rsid w:val="00D07A5A"/>
    <w:rsid w:val="00D1267C"/>
    <w:rsid w:val="00D152D3"/>
    <w:rsid w:val="00D2039A"/>
    <w:rsid w:val="00D26167"/>
    <w:rsid w:val="00D35C71"/>
    <w:rsid w:val="00D36387"/>
    <w:rsid w:val="00D36590"/>
    <w:rsid w:val="00D435F9"/>
    <w:rsid w:val="00D50155"/>
    <w:rsid w:val="00D577FA"/>
    <w:rsid w:val="00D663CF"/>
    <w:rsid w:val="00D960B6"/>
    <w:rsid w:val="00DA57F9"/>
    <w:rsid w:val="00DA6B1C"/>
    <w:rsid w:val="00DB4063"/>
    <w:rsid w:val="00DB4769"/>
    <w:rsid w:val="00DB7057"/>
    <w:rsid w:val="00DD0093"/>
    <w:rsid w:val="00DD02CF"/>
    <w:rsid w:val="00DD5137"/>
    <w:rsid w:val="00DE5D00"/>
    <w:rsid w:val="00E06F81"/>
    <w:rsid w:val="00E13965"/>
    <w:rsid w:val="00E34E22"/>
    <w:rsid w:val="00E526AD"/>
    <w:rsid w:val="00E5700A"/>
    <w:rsid w:val="00E573AE"/>
    <w:rsid w:val="00E845F3"/>
    <w:rsid w:val="00E8614F"/>
    <w:rsid w:val="00E95AD0"/>
    <w:rsid w:val="00EA45F8"/>
    <w:rsid w:val="00EA640D"/>
    <w:rsid w:val="00EB0203"/>
    <w:rsid w:val="00EB3012"/>
    <w:rsid w:val="00EC53EF"/>
    <w:rsid w:val="00EE5ABC"/>
    <w:rsid w:val="00EE5AF7"/>
    <w:rsid w:val="00F10623"/>
    <w:rsid w:val="00F14466"/>
    <w:rsid w:val="00F22425"/>
    <w:rsid w:val="00F328A0"/>
    <w:rsid w:val="00F453C6"/>
    <w:rsid w:val="00F5763C"/>
    <w:rsid w:val="00F94C67"/>
    <w:rsid w:val="00F94DE5"/>
    <w:rsid w:val="00F97C2F"/>
    <w:rsid w:val="00FA081A"/>
    <w:rsid w:val="00FB5B36"/>
    <w:rsid w:val="00FC1623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af3">
    <w:name w:val="Абзац списка с отступом"/>
    <w:basedOn w:val="a"/>
    <w:qFormat/>
    <w:rsid w:val="00692C6A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A95A489A9D96C8637A4202C5A37C0C9F35786E7F646A7479817CDBA3AC1567D959E5FBC53C7FCD90BF9A14F665ED929A346E2AAC9C4hCR7S" TargetMode="Externa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E01CB9447C7A403C33A68AF98B58EB1184B982EF3707FEC7166C6AA3BAD7E0BC23E6ECCD26BF8AB09DD368A7EE6D3729EEA555C9910Y5L5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3720F9-EFCC-4783-BE5D-2DA9A212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Юзер</cp:lastModifiedBy>
  <cp:revision>57</cp:revision>
  <cp:lastPrinted>2024-11-08T07:21:00Z</cp:lastPrinted>
  <dcterms:created xsi:type="dcterms:W3CDTF">2017-12-19T13:31:00Z</dcterms:created>
  <dcterms:modified xsi:type="dcterms:W3CDTF">2024-11-11T08:50:00Z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