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14" w:rsidRPr="001A5514" w:rsidRDefault="001A5514" w:rsidP="001A5514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1A5514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муниципальное образование </w:t>
      </w:r>
      <w:r w:rsidRPr="001A5514">
        <w:rPr>
          <w:rFonts w:ascii="Times New Roman" w:hAnsi="Times New Roman" w:cs="Times New Roman"/>
          <w:sz w:val="28"/>
          <w:szCs w:val="28"/>
        </w:rPr>
        <w:br/>
        <w:t>городской округ город Красный Луч Луганской Народной Республики</w:t>
      </w:r>
    </w:p>
    <w:p w:rsidR="001A5514" w:rsidRPr="001A5514" w:rsidRDefault="001A5514" w:rsidP="001A5514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A5514" w:rsidRPr="001A5514" w:rsidRDefault="001A5514" w:rsidP="001A5514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514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1A5514" w:rsidRPr="001A5514" w:rsidRDefault="001A5514" w:rsidP="001A5514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A5514">
        <w:rPr>
          <w:rFonts w:ascii="Times New Roman" w:hAnsi="Times New Roman" w:cs="Times New Roman"/>
          <w:sz w:val="28"/>
          <w:szCs w:val="28"/>
        </w:rPr>
        <w:t xml:space="preserve">     </w:t>
      </w:r>
      <w:r w:rsidR="00EC4A90">
        <w:rPr>
          <w:rFonts w:ascii="Times New Roman" w:hAnsi="Times New Roman" w:cs="Times New Roman"/>
          <w:sz w:val="28"/>
          <w:szCs w:val="28"/>
        </w:rPr>
        <w:t xml:space="preserve">11 марта </w:t>
      </w:r>
      <w:r w:rsidR="00CD652E">
        <w:rPr>
          <w:rFonts w:ascii="Times New Roman" w:hAnsi="Times New Roman" w:cs="Times New Roman"/>
          <w:sz w:val="28"/>
          <w:szCs w:val="28"/>
        </w:rPr>
        <w:t xml:space="preserve"> </w:t>
      </w:r>
      <w:r w:rsidRPr="001A5514">
        <w:rPr>
          <w:rFonts w:ascii="Times New Roman" w:hAnsi="Times New Roman" w:cs="Times New Roman"/>
          <w:sz w:val="28"/>
          <w:szCs w:val="28"/>
        </w:rPr>
        <w:t>2024 г.</w:t>
      </w:r>
      <w:r w:rsidRPr="001A5514">
        <w:rPr>
          <w:rFonts w:ascii="Times New Roman" w:hAnsi="Times New Roman" w:cs="Times New Roman"/>
          <w:sz w:val="28"/>
          <w:szCs w:val="28"/>
        </w:rPr>
        <w:tab/>
      </w:r>
      <w:r w:rsidRPr="001A5514">
        <w:rPr>
          <w:rFonts w:ascii="Times New Roman" w:hAnsi="Times New Roman" w:cs="Times New Roman"/>
          <w:sz w:val="28"/>
          <w:szCs w:val="28"/>
        </w:rPr>
        <w:tab/>
      </w:r>
      <w:r w:rsidRPr="001A5514">
        <w:rPr>
          <w:rFonts w:ascii="Times New Roman" w:hAnsi="Times New Roman" w:cs="Times New Roman"/>
          <w:sz w:val="28"/>
          <w:szCs w:val="28"/>
        </w:rPr>
        <w:tab/>
      </w:r>
      <w:r w:rsidRPr="001A5514">
        <w:rPr>
          <w:rFonts w:ascii="Times New Roman" w:hAnsi="Times New Roman" w:cs="Times New Roman"/>
          <w:sz w:val="28"/>
          <w:szCs w:val="28"/>
        </w:rPr>
        <w:tab/>
      </w:r>
      <w:r w:rsidRPr="001A5514">
        <w:rPr>
          <w:rFonts w:ascii="Times New Roman" w:hAnsi="Times New Roman" w:cs="Times New Roman"/>
          <w:sz w:val="28"/>
          <w:szCs w:val="28"/>
        </w:rPr>
        <w:tab/>
      </w:r>
      <w:r w:rsidRPr="001A5514">
        <w:rPr>
          <w:rFonts w:ascii="Times New Roman" w:hAnsi="Times New Roman" w:cs="Times New Roman"/>
          <w:sz w:val="28"/>
          <w:szCs w:val="28"/>
        </w:rPr>
        <w:tab/>
        <w:t xml:space="preserve">                   № </w:t>
      </w:r>
      <w:r w:rsidR="00EC4A90">
        <w:rPr>
          <w:rFonts w:ascii="Times New Roman" w:hAnsi="Times New Roman" w:cs="Times New Roman"/>
          <w:sz w:val="28"/>
          <w:szCs w:val="28"/>
        </w:rPr>
        <w:t>П-61/24</w:t>
      </w:r>
    </w:p>
    <w:p w:rsidR="008D525E" w:rsidRDefault="001A5514" w:rsidP="001A5514">
      <w:pPr>
        <w:tabs>
          <w:tab w:val="left" w:pos="9900"/>
          <w:tab w:val="left" w:pos="10080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514">
        <w:rPr>
          <w:rFonts w:ascii="Times New Roman" w:hAnsi="Times New Roman" w:cs="Times New Roman"/>
          <w:sz w:val="28"/>
          <w:szCs w:val="28"/>
        </w:rPr>
        <w:t>г. Красный Луч</w:t>
      </w:r>
    </w:p>
    <w:p w:rsidR="008D525E" w:rsidRDefault="008D525E" w:rsidP="00F75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25E" w:rsidRPr="008D525E" w:rsidRDefault="008D525E" w:rsidP="008D5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25E">
        <w:rPr>
          <w:rFonts w:ascii="Times New Roman" w:hAnsi="Times New Roman" w:cs="Times New Roman"/>
          <w:b/>
          <w:sz w:val="28"/>
          <w:szCs w:val="28"/>
        </w:rPr>
        <w:t>Об осуществлении предварительной оплаты товаров, работ и услуг</w:t>
      </w:r>
    </w:p>
    <w:p w:rsidR="006E17A8" w:rsidRDefault="008D525E" w:rsidP="00F15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25E">
        <w:rPr>
          <w:rFonts w:ascii="Times New Roman" w:hAnsi="Times New Roman" w:cs="Times New Roman"/>
          <w:b/>
          <w:sz w:val="28"/>
          <w:szCs w:val="28"/>
        </w:rPr>
        <w:t xml:space="preserve">за счет средств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городской округ город </w:t>
      </w:r>
      <w:r w:rsidR="008B708A">
        <w:rPr>
          <w:rFonts w:ascii="Times New Roman" w:hAnsi="Times New Roman" w:cs="Times New Roman"/>
          <w:b/>
          <w:sz w:val="28"/>
          <w:szCs w:val="28"/>
        </w:rPr>
        <w:t>Красный Луч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25E">
        <w:rPr>
          <w:rFonts w:ascii="Times New Roman" w:hAnsi="Times New Roman" w:cs="Times New Roman"/>
          <w:b/>
          <w:sz w:val="28"/>
          <w:szCs w:val="28"/>
        </w:rPr>
        <w:t>Луганской Народной</w:t>
      </w:r>
      <w:r w:rsidR="008B7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25E">
        <w:rPr>
          <w:rFonts w:ascii="Times New Roman" w:hAnsi="Times New Roman" w:cs="Times New Roman"/>
          <w:b/>
          <w:sz w:val="28"/>
          <w:szCs w:val="28"/>
        </w:rPr>
        <w:t xml:space="preserve">Республики </w:t>
      </w:r>
    </w:p>
    <w:p w:rsidR="008D525E" w:rsidRPr="00161B96" w:rsidRDefault="008D525E" w:rsidP="00F15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79E" w:rsidRDefault="006E17A8" w:rsidP="00295E4F">
      <w:pPr>
        <w:pStyle w:val="a3"/>
        <w:spacing w:after="0"/>
        <w:ind w:firstLine="451"/>
        <w:jc w:val="both"/>
        <w:rPr>
          <w:sz w:val="28"/>
          <w:szCs w:val="28"/>
        </w:rPr>
      </w:pPr>
      <w:r w:rsidRPr="00161B96">
        <w:rPr>
          <w:sz w:val="28"/>
          <w:szCs w:val="28"/>
        </w:rPr>
        <w:t xml:space="preserve">В соответствии со статьей </w:t>
      </w:r>
      <w:r w:rsidR="008D525E">
        <w:rPr>
          <w:sz w:val="28"/>
          <w:szCs w:val="28"/>
        </w:rPr>
        <w:t>12 Закона Луганской Народной Республики  от 2</w:t>
      </w:r>
      <w:r w:rsidR="002E5F98">
        <w:rPr>
          <w:sz w:val="28"/>
          <w:szCs w:val="28"/>
        </w:rPr>
        <w:t>9</w:t>
      </w:r>
      <w:r w:rsidR="008D525E">
        <w:rPr>
          <w:sz w:val="28"/>
          <w:szCs w:val="28"/>
        </w:rPr>
        <w:t>.12.2023 №</w:t>
      </w:r>
      <w:r w:rsidR="002E5F98">
        <w:rPr>
          <w:sz w:val="28"/>
          <w:szCs w:val="28"/>
        </w:rPr>
        <w:t xml:space="preserve"> 30-</w:t>
      </w:r>
      <w:r w:rsidR="002E5F98">
        <w:rPr>
          <w:sz w:val="28"/>
          <w:szCs w:val="28"/>
          <w:lang w:val="en-US"/>
        </w:rPr>
        <w:t>I</w:t>
      </w:r>
      <w:bookmarkStart w:id="0" w:name="_GoBack"/>
      <w:bookmarkEnd w:id="0"/>
      <w:r w:rsidR="008D525E">
        <w:rPr>
          <w:sz w:val="28"/>
          <w:szCs w:val="28"/>
        </w:rPr>
        <w:t xml:space="preserve"> «</w:t>
      </w:r>
      <w:r w:rsidR="008D525E" w:rsidRPr="008D525E">
        <w:rPr>
          <w:sz w:val="28"/>
          <w:szCs w:val="28"/>
        </w:rPr>
        <w:t xml:space="preserve">О бюджете Луганской </w:t>
      </w:r>
      <w:r w:rsidR="008D525E">
        <w:rPr>
          <w:sz w:val="28"/>
          <w:szCs w:val="28"/>
        </w:rPr>
        <w:t xml:space="preserve">Народной Республики на 2024 год </w:t>
      </w:r>
      <w:r w:rsidR="008D525E" w:rsidRPr="008D525E">
        <w:rPr>
          <w:sz w:val="28"/>
          <w:szCs w:val="28"/>
        </w:rPr>
        <w:t>и на плановый период 2025 и 2026 годов</w:t>
      </w:r>
      <w:r w:rsidR="008D525E">
        <w:rPr>
          <w:sz w:val="28"/>
          <w:szCs w:val="28"/>
        </w:rPr>
        <w:t>»</w:t>
      </w:r>
      <w:r w:rsidR="004D5486" w:rsidRPr="00161B96">
        <w:rPr>
          <w:sz w:val="28"/>
          <w:szCs w:val="28"/>
        </w:rPr>
        <w:t xml:space="preserve">, </w:t>
      </w:r>
      <w:r w:rsidRPr="00161B96">
        <w:rPr>
          <w:sz w:val="28"/>
          <w:szCs w:val="28"/>
        </w:rPr>
        <w:t xml:space="preserve">руководствуясь подпунктом </w:t>
      </w:r>
      <w:r w:rsidR="007C4567">
        <w:rPr>
          <w:sz w:val="28"/>
          <w:szCs w:val="28"/>
        </w:rPr>
        <w:t xml:space="preserve">        </w:t>
      </w:r>
      <w:r w:rsidRPr="00161B96">
        <w:rPr>
          <w:sz w:val="28"/>
          <w:szCs w:val="28"/>
        </w:rPr>
        <w:t xml:space="preserve">9) пункта 4.7. раздела 4. Положения об Администрации  городского округа муниципальное образование городской округ город </w:t>
      </w:r>
      <w:r w:rsidR="001A5514">
        <w:rPr>
          <w:sz w:val="28"/>
          <w:szCs w:val="28"/>
        </w:rPr>
        <w:t>Красный Луч</w:t>
      </w:r>
      <w:r w:rsidRPr="00161B96">
        <w:rPr>
          <w:sz w:val="28"/>
          <w:szCs w:val="28"/>
        </w:rPr>
        <w:t xml:space="preserve"> Луганской Народной Республики, </w:t>
      </w:r>
      <w:r w:rsidR="001A5514" w:rsidRPr="0073402D">
        <w:rPr>
          <w:sz w:val="28"/>
          <w:szCs w:val="28"/>
        </w:rPr>
        <w:t>утвержденного решением Совета городского округа муниципальное образование городской округ город Красный Луч Луганской Народной Республики от 08.11.2023 № 2</w:t>
      </w:r>
      <w:r w:rsidRPr="00161B96">
        <w:rPr>
          <w:sz w:val="28"/>
          <w:szCs w:val="28"/>
        </w:rPr>
        <w:t xml:space="preserve">, </w:t>
      </w:r>
      <w:r w:rsidR="00295E4F" w:rsidRPr="00161B96">
        <w:rPr>
          <w:sz w:val="28"/>
          <w:szCs w:val="28"/>
        </w:rPr>
        <w:t>Администраци</w:t>
      </w:r>
      <w:r w:rsidR="00295E4F">
        <w:rPr>
          <w:sz w:val="28"/>
          <w:szCs w:val="28"/>
        </w:rPr>
        <w:t>я</w:t>
      </w:r>
      <w:r w:rsidR="00295E4F" w:rsidRPr="00161B96">
        <w:rPr>
          <w:sz w:val="28"/>
          <w:szCs w:val="28"/>
        </w:rPr>
        <w:t xml:space="preserve">  городского округа муниципальное образование городской округ город </w:t>
      </w:r>
      <w:r w:rsidR="00295E4F">
        <w:rPr>
          <w:sz w:val="28"/>
          <w:szCs w:val="28"/>
        </w:rPr>
        <w:t>Красный Луч</w:t>
      </w:r>
      <w:r w:rsidR="00295E4F" w:rsidRPr="00161B96">
        <w:rPr>
          <w:sz w:val="28"/>
          <w:szCs w:val="28"/>
        </w:rPr>
        <w:t xml:space="preserve"> Луганской Народной Республики</w:t>
      </w:r>
    </w:p>
    <w:p w:rsidR="00774D9B" w:rsidRPr="00871C16" w:rsidRDefault="00C5179E" w:rsidP="00C5179E">
      <w:pPr>
        <w:pStyle w:val="a3"/>
        <w:spacing w:after="0"/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871C16" w:rsidRPr="00871C16">
        <w:rPr>
          <w:sz w:val="28"/>
          <w:szCs w:val="28"/>
        </w:rPr>
        <w:t>П О С Т А Н О В Л Я Е Т :</w:t>
      </w:r>
    </w:p>
    <w:p w:rsidR="00774D9B" w:rsidRPr="00774D9B" w:rsidRDefault="00774D9B" w:rsidP="00C5179E">
      <w:pPr>
        <w:pStyle w:val="a3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 xml:space="preserve">1. Установить, что главные распорядители, распорядители, получатели средств бюджета муниципального образования городской округ город </w:t>
      </w:r>
      <w:r w:rsidR="001A5514">
        <w:rPr>
          <w:rFonts w:eastAsiaTheme="minorHAnsi"/>
          <w:sz w:val="28"/>
          <w:szCs w:val="28"/>
          <w:lang w:eastAsia="en-US"/>
        </w:rPr>
        <w:t>Красный Луч</w:t>
      </w:r>
      <w:r w:rsidRPr="00774D9B">
        <w:rPr>
          <w:rFonts w:eastAsiaTheme="minorHAnsi"/>
          <w:sz w:val="28"/>
          <w:szCs w:val="28"/>
          <w:lang w:eastAsia="en-US"/>
        </w:rPr>
        <w:t xml:space="preserve"> Луганской Народной Республики при заключении муниципальных контрактов на поставку товаров, выполнение работ, оказание услуг, бюджетные и автономные учреждения при заключении контрактов (договоров) на поставку товаров, выполнение работ, оказание услуг (далее в настоящей статье – муниципальные контракты, контракты (договоры)) вправе предусматривать авансовые платежи:</w:t>
      </w:r>
    </w:p>
    <w:p w:rsidR="00774D9B" w:rsidRPr="00774D9B" w:rsidRDefault="00774D9B" w:rsidP="00B456F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 xml:space="preserve">1) в размере до 100 процентов от суммы муниципального контракта, контракта (договора) – по муниципальным контрактам, контрактам (договорам): </w:t>
      </w:r>
    </w:p>
    <w:p w:rsidR="00774D9B" w:rsidRPr="00774D9B" w:rsidRDefault="00774D9B" w:rsidP="00B456F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>а) об оказании услуг связи;</w:t>
      </w:r>
    </w:p>
    <w:p w:rsidR="00774D9B" w:rsidRPr="00774D9B" w:rsidRDefault="00774D9B" w:rsidP="00B456F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>б) о пересылке почтовой корреспонденции с использованием франкировальной машины;</w:t>
      </w:r>
    </w:p>
    <w:p w:rsidR="00774D9B" w:rsidRPr="00774D9B" w:rsidRDefault="00774D9B" w:rsidP="00B456F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>в) о приобретении знаков почтовой оплаты;</w:t>
      </w:r>
    </w:p>
    <w:p w:rsidR="00774D9B" w:rsidRPr="00774D9B" w:rsidRDefault="00774D9B" w:rsidP="00B456F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>г) о пользовании почтовыми абонентскими ящиками;</w:t>
      </w:r>
    </w:p>
    <w:p w:rsidR="00774D9B" w:rsidRPr="00774D9B" w:rsidRDefault="00774D9B" w:rsidP="00B456F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>д) о подписке на печатные издания и об их приобретении;</w:t>
      </w:r>
    </w:p>
    <w:p w:rsidR="00774D9B" w:rsidRPr="00774D9B" w:rsidRDefault="00774D9B" w:rsidP="00B456F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>е) об обучении на курсах повышения квалификации;</w:t>
      </w:r>
    </w:p>
    <w:p w:rsidR="00774D9B" w:rsidRPr="00774D9B" w:rsidRDefault="00774D9B" w:rsidP="00B456F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lastRenderedPageBreak/>
        <w:t>ж) о прохождении профессиональной переподготовки;</w:t>
      </w:r>
    </w:p>
    <w:p w:rsidR="00774D9B" w:rsidRPr="00774D9B" w:rsidRDefault="00774D9B" w:rsidP="00B456F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>з) об участии в научных, методических, научно-практических и иных конференциях, вебинарах, семинарах;</w:t>
      </w:r>
    </w:p>
    <w:p w:rsidR="00774D9B" w:rsidRPr="00774D9B" w:rsidRDefault="00774D9B" w:rsidP="00B456F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>и) о проведении государственной экспертизы проектной документации и результатов инженерных изысканий;</w:t>
      </w:r>
    </w:p>
    <w:p w:rsidR="00774D9B" w:rsidRPr="00774D9B" w:rsidRDefault="00774D9B" w:rsidP="00B456F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>к) о проведении проверки достоверности определения сметной стоимости объектов капитального строительства;</w:t>
      </w:r>
    </w:p>
    <w:p w:rsidR="00774D9B" w:rsidRPr="00774D9B" w:rsidRDefault="00774D9B" w:rsidP="00B456F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 xml:space="preserve">л) об обеспечении участия делегаций органов местного самоуправления городского округа муниципальное образование городской округ город </w:t>
      </w:r>
      <w:r w:rsidR="001A5514">
        <w:rPr>
          <w:rFonts w:eastAsiaTheme="minorHAnsi"/>
          <w:sz w:val="28"/>
          <w:szCs w:val="28"/>
          <w:lang w:eastAsia="en-US"/>
        </w:rPr>
        <w:t>Красный Луч</w:t>
      </w:r>
      <w:r w:rsidRPr="00774D9B">
        <w:rPr>
          <w:rFonts w:eastAsiaTheme="minorHAnsi"/>
          <w:sz w:val="28"/>
          <w:szCs w:val="28"/>
          <w:lang w:eastAsia="en-US"/>
        </w:rPr>
        <w:t xml:space="preserve"> Луганской Народной Республики во всероссийских и международных мероприятиях в сфере образования (олимпиадах, соревнованиях, сборах, конкурсах, первенствах, выставках);</w:t>
      </w:r>
    </w:p>
    <w:p w:rsidR="00774D9B" w:rsidRPr="00774D9B" w:rsidRDefault="00774D9B" w:rsidP="00B456F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>м) об оказании услуг, связанных с обеспечением проезда на авиа-, железнодорожном и автомобильном транспорте (в том числе городском и пригородном);</w:t>
      </w:r>
    </w:p>
    <w:p w:rsidR="00774D9B" w:rsidRPr="00774D9B" w:rsidRDefault="00774D9B" w:rsidP="00B456F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>н) о приобретении путевок на санаторно-курортное лечение;</w:t>
      </w:r>
    </w:p>
    <w:p w:rsidR="00774D9B" w:rsidRPr="00774D9B" w:rsidRDefault="00774D9B" w:rsidP="00B456F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>о) об обязательном страховании гражданской ответственности владельцев транспортных средств;</w:t>
      </w:r>
    </w:p>
    <w:p w:rsidR="00774D9B" w:rsidRPr="00774D9B" w:rsidRDefault="00774D9B" w:rsidP="00B456F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>п) об обязательном страховании гражданской ответственности владельца опасного объекта за причинение вреда в результате аварии на опасном объекте и договорам добровольного страхования от несчастных случаев;</w:t>
      </w:r>
    </w:p>
    <w:p w:rsidR="00774D9B" w:rsidRPr="00774D9B" w:rsidRDefault="00774D9B" w:rsidP="00B456F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>р) об оплате организационного взноса, путевок на участие в мероприятиях для детей и молодежи;</w:t>
      </w:r>
    </w:p>
    <w:p w:rsidR="00774D9B" w:rsidRPr="00774D9B" w:rsidRDefault="00774D9B" w:rsidP="00B456F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>с) об оплате гостиничных услуг по месту командирования;</w:t>
      </w:r>
    </w:p>
    <w:p w:rsidR="00774D9B" w:rsidRPr="00774D9B" w:rsidRDefault="00774D9B" w:rsidP="00B456F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>т) на проведение технического осмотра автотранспорта;</w:t>
      </w:r>
    </w:p>
    <w:p w:rsidR="00774D9B" w:rsidRPr="00774D9B" w:rsidRDefault="00774D9B" w:rsidP="00B456F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>у) об оказании услуг на подготовку и проведение летних лагерей, профильных тематических смен;</w:t>
      </w:r>
    </w:p>
    <w:p w:rsidR="00774D9B" w:rsidRPr="00774D9B" w:rsidRDefault="00774D9B" w:rsidP="00B456F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>ф) об оказании услуг по изготовлению бюллетеней, открепительных удостоверений, информационных материалов, размещаемых в помещениях избирательных комиссий, комиссий референдума, помещениях для голосования;</w:t>
      </w:r>
    </w:p>
    <w:p w:rsidR="00774D9B" w:rsidRPr="00774D9B" w:rsidRDefault="00774D9B" w:rsidP="00B456F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>х) на проживание и питание участников культурно-спортивных мероприятий;</w:t>
      </w:r>
    </w:p>
    <w:p w:rsidR="00774D9B" w:rsidRPr="00774D9B" w:rsidRDefault="00774D9B" w:rsidP="00B456F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 xml:space="preserve">ц) на представительские расходы и иные расходы, связанные с представительской деятельностью органов местного самоуправления городского округа муниципальное образование городской округ город </w:t>
      </w:r>
      <w:r w:rsidR="001A5514">
        <w:rPr>
          <w:rFonts w:eastAsiaTheme="minorHAnsi"/>
          <w:sz w:val="28"/>
          <w:szCs w:val="28"/>
          <w:lang w:eastAsia="en-US"/>
        </w:rPr>
        <w:t>Красный Луч</w:t>
      </w:r>
      <w:r w:rsidRPr="00774D9B">
        <w:rPr>
          <w:rFonts w:eastAsiaTheme="minorHAnsi"/>
          <w:sz w:val="28"/>
          <w:szCs w:val="28"/>
          <w:lang w:eastAsia="en-US"/>
        </w:rPr>
        <w:t xml:space="preserve"> Луганской Народной Республики;</w:t>
      </w:r>
    </w:p>
    <w:p w:rsidR="00774D9B" w:rsidRPr="00774D9B" w:rsidRDefault="00774D9B" w:rsidP="00B456F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 xml:space="preserve">ч) на приобретение материалов и оборудования для ликвидации возможных аварийных ситуаций в органах местного самоуправления городского округа муниципальное образование городской округ город </w:t>
      </w:r>
      <w:r w:rsidR="001A5514">
        <w:rPr>
          <w:rFonts w:eastAsiaTheme="minorHAnsi"/>
          <w:sz w:val="28"/>
          <w:szCs w:val="28"/>
          <w:lang w:eastAsia="en-US"/>
        </w:rPr>
        <w:t>Красный Луч</w:t>
      </w:r>
      <w:r w:rsidRPr="00774D9B">
        <w:rPr>
          <w:rFonts w:eastAsiaTheme="minorHAnsi"/>
          <w:sz w:val="28"/>
          <w:szCs w:val="28"/>
          <w:lang w:eastAsia="en-US"/>
        </w:rPr>
        <w:t xml:space="preserve"> Луганской Народной Республики и муниципальных казенных </w:t>
      </w:r>
      <w:r w:rsidRPr="00774D9B">
        <w:rPr>
          <w:rFonts w:eastAsiaTheme="minorHAnsi"/>
          <w:sz w:val="28"/>
          <w:szCs w:val="28"/>
          <w:lang w:eastAsia="en-US"/>
        </w:rPr>
        <w:lastRenderedPageBreak/>
        <w:t xml:space="preserve">учреждениях городского округа муниципальное образование городской округ город </w:t>
      </w:r>
      <w:r w:rsidR="001A5514">
        <w:rPr>
          <w:rFonts w:eastAsiaTheme="minorHAnsi"/>
          <w:sz w:val="28"/>
          <w:szCs w:val="28"/>
          <w:lang w:eastAsia="en-US"/>
        </w:rPr>
        <w:t>Красный Луч</w:t>
      </w:r>
      <w:r w:rsidRPr="00774D9B">
        <w:rPr>
          <w:rFonts w:eastAsiaTheme="minorHAnsi"/>
          <w:sz w:val="28"/>
          <w:szCs w:val="28"/>
          <w:lang w:eastAsia="en-US"/>
        </w:rPr>
        <w:t xml:space="preserve"> Луганской Народной Республики;</w:t>
      </w:r>
    </w:p>
    <w:p w:rsidR="00774D9B" w:rsidRPr="00774D9B" w:rsidRDefault="00774D9B" w:rsidP="00B456F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>ш) на проведение мероприятий по тушению пожаров;</w:t>
      </w:r>
    </w:p>
    <w:p w:rsidR="00774D9B" w:rsidRPr="00774D9B" w:rsidRDefault="00774D9B" w:rsidP="00B456F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74D9B" w:rsidRPr="00774D9B" w:rsidRDefault="00774D9B" w:rsidP="00B456F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>2) в размере до 100 процентов от суммы контракта (договора) – по договорам (контрактам), подлежащим оплате за счет средств, полученных от предпринимательской и иной приносящей доход деятельности;</w:t>
      </w:r>
    </w:p>
    <w:p w:rsidR="00774D9B" w:rsidRPr="00774D9B" w:rsidRDefault="00774D9B" w:rsidP="00B456F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74D9B" w:rsidRPr="00774D9B" w:rsidRDefault="00774D9B" w:rsidP="00B456F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 xml:space="preserve">3) в размере, не превышающем 30 процентов суммы </w:t>
      </w:r>
      <w:r w:rsidR="00B456FB">
        <w:rPr>
          <w:rFonts w:eastAsiaTheme="minorHAnsi"/>
          <w:sz w:val="28"/>
          <w:szCs w:val="28"/>
          <w:lang w:eastAsia="en-US"/>
        </w:rPr>
        <w:t>муниципального</w:t>
      </w:r>
      <w:r w:rsidRPr="00774D9B">
        <w:rPr>
          <w:rFonts w:eastAsiaTheme="minorHAnsi"/>
          <w:sz w:val="28"/>
          <w:szCs w:val="28"/>
          <w:lang w:eastAsia="en-US"/>
        </w:rPr>
        <w:t xml:space="preserve"> контракта, контракта (договора) о выполнении работ по строительству, реконструкции и капитальному ремонту объектов капитального строительства собственности </w:t>
      </w:r>
      <w:r w:rsidR="00B456FB" w:rsidRPr="00B456FB">
        <w:rPr>
          <w:rFonts w:eastAsiaTheme="minorHAnsi"/>
          <w:sz w:val="28"/>
          <w:szCs w:val="28"/>
          <w:lang w:eastAsia="en-US"/>
        </w:rPr>
        <w:t xml:space="preserve">городского округа муниципальное образование городской округ город </w:t>
      </w:r>
      <w:r w:rsidR="001A5514">
        <w:rPr>
          <w:rFonts w:eastAsiaTheme="minorHAnsi"/>
          <w:sz w:val="28"/>
          <w:szCs w:val="28"/>
          <w:lang w:eastAsia="en-US"/>
        </w:rPr>
        <w:t>Красный Луч</w:t>
      </w:r>
      <w:r w:rsidR="00B456FB" w:rsidRPr="00B456FB">
        <w:rPr>
          <w:rFonts w:eastAsiaTheme="minorHAnsi"/>
          <w:sz w:val="28"/>
          <w:szCs w:val="28"/>
          <w:lang w:eastAsia="en-US"/>
        </w:rPr>
        <w:t xml:space="preserve"> Луганской Народной Республики</w:t>
      </w:r>
      <w:r w:rsidRPr="00774D9B">
        <w:rPr>
          <w:rFonts w:eastAsiaTheme="minorHAnsi"/>
          <w:sz w:val="28"/>
          <w:szCs w:val="28"/>
          <w:lang w:eastAsia="en-US"/>
        </w:rPr>
        <w:t xml:space="preserve">, при включении в </w:t>
      </w:r>
      <w:r w:rsidR="00B456FB">
        <w:rPr>
          <w:rFonts w:eastAsiaTheme="minorHAnsi"/>
          <w:sz w:val="28"/>
          <w:szCs w:val="28"/>
          <w:lang w:eastAsia="en-US"/>
        </w:rPr>
        <w:t>муниципальный</w:t>
      </w:r>
      <w:r w:rsidRPr="00774D9B">
        <w:rPr>
          <w:rFonts w:eastAsiaTheme="minorHAnsi"/>
          <w:sz w:val="28"/>
          <w:szCs w:val="28"/>
          <w:lang w:eastAsia="en-US"/>
        </w:rPr>
        <w:t xml:space="preserve"> контракт, контракт (договор)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в соответствии с порядком санкционирования оплаты денежных обязательств, установленным </w:t>
      </w:r>
      <w:r w:rsidR="00B456FB">
        <w:rPr>
          <w:rFonts w:eastAsiaTheme="minorHAnsi"/>
          <w:sz w:val="28"/>
          <w:szCs w:val="28"/>
          <w:lang w:eastAsia="en-US"/>
        </w:rPr>
        <w:t xml:space="preserve">управлением </w:t>
      </w:r>
      <w:r w:rsidRPr="00774D9B">
        <w:rPr>
          <w:rFonts w:eastAsiaTheme="minorHAnsi"/>
          <w:sz w:val="28"/>
          <w:szCs w:val="28"/>
          <w:lang w:eastAsia="en-US"/>
        </w:rPr>
        <w:t xml:space="preserve">финансов </w:t>
      </w:r>
      <w:r w:rsidR="00B456FB">
        <w:rPr>
          <w:rFonts w:eastAsiaTheme="minorHAnsi"/>
          <w:sz w:val="28"/>
          <w:szCs w:val="28"/>
          <w:lang w:eastAsia="en-US"/>
        </w:rPr>
        <w:t xml:space="preserve">Администрации городского округа </w:t>
      </w:r>
      <w:r w:rsidR="00B456FB" w:rsidRPr="00B456FB">
        <w:rPr>
          <w:rFonts w:eastAsiaTheme="minorHAnsi"/>
          <w:sz w:val="28"/>
          <w:szCs w:val="28"/>
          <w:lang w:eastAsia="en-US"/>
        </w:rPr>
        <w:t xml:space="preserve">муниципальное образование городской округ город </w:t>
      </w:r>
      <w:r w:rsidR="001A5514">
        <w:rPr>
          <w:rFonts w:eastAsiaTheme="minorHAnsi"/>
          <w:sz w:val="28"/>
          <w:szCs w:val="28"/>
          <w:lang w:eastAsia="en-US"/>
        </w:rPr>
        <w:t>Красный Луч</w:t>
      </w:r>
      <w:r w:rsidR="00B456FB" w:rsidRPr="00B456FB">
        <w:rPr>
          <w:rFonts w:eastAsiaTheme="minorHAnsi"/>
          <w:sz w:val="28"/>
          <w:szCs w:val="28"/>
          <w:lang w:eastAsia="en-US"/>
        </w:rPr>
        <w:t xml:space="preserve"> Луганской Народной Республики </w:t>
      </w:r>
      <w:r w:rsidRPr="00774D9B">
        <w:rPr>
          <w:rFonts w:eastAsiaTheme="minorHAnsi"/>
          <w:sz w:val="28"/>
          <w:szCs w:val="28"/>
          <w:lang w:eastAsia="en-US"/>
        </w:rPr>
        <w:t xml:space="preserve">(с ограничением общей суммы авансирования </w:t>
      </w:r>
      <w:r w:rsidR="00B456FB">
        <w:rPr>
          <w:rFonts w:eastAsiaTheme="minorHAnsi"/>
          <w:sz w:val="28"/>
          <w:szCs w:val="28"/>
          <w:lang w:eastAsia="en-US"/>
        </w:rPr>
        <w:t>не более 70 процентов суммы муниципального</w:t>
      </w:r>
      <w:r w:rsidRPr="00774D9B">
        <w:rPr>
          <w:rFonts w:eastAsiaTheme="minorHAnsi"/>
          <w:sz w:val="28"/>
          <w:szCs w:val="28"/>
          <w:lang w:eastAsia="en-US"/>
        </w:rPr>
        <w:t xml:space="preserve"> контракта (договора));</w:t>
      </w:r>
    </w:p>
    <w:p w:rsidR="00774D9B" w:rsidRPr="00774D9B" w:rsidRDefault="00774D9B" w:rsidP="00B456F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74D9B" w:rsidRPr="00774D9B" w:rsidRDefault="00774D9B" w:rsidP="00B456F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 xml:space="preserve">4) по остальным </w:t>
      </w:r>
      <w:r w:rsidR="00B456FB">
        <w:rPr>
          <w:rFonts w:eastAsiaTheme="minorHAnsi"/>
          <w:sz w:val="28"/>
          <w:szCs w:val="28"/>
          <w:lang w:eastAsia="en-US"/>
        </w:rPr>
        <w:t>муниципальным</w:t>
      </w:r>
      <w:r w:rsidRPr="00774D9B">
        <w:rPr>
          <w:rFonts w:eastAsiaTheme="minorHAnsi"/>
          <w:sz w:val="28"/>
          <w:szCs w:val="28"/>
          <w:lang w:eastAsia="en-US"/>
        </w:rPr>
        <w:t xml:space="preserve"> контрактам, контрактам (договорам) авансовые платежи определяются расчетным путем, но не более 30 процентов от суммы </w:t>
      </w:r>
      <w:r w:rsidR="00B456FB">
        <w:rPr>
          <w:rFonts w:eastAsiaTheme="minorHAnsi"/>
          <w:sz w:val="28"/>
          <w:szCs w:val="28"/>
          <w:lang w:eastAsia="en-US"/>
        </w:rPr>
        <w:t>муниципального</w:t>
      </w:r>
      <w:r w:rsidRPr="00774D9B">
        <w:rPr>
          <w:rFonts w:eastAsiaTheme="minorHAnsi"/>
          <w:sz w:val="28"/>
          <w:szCs w:val="28"/>
          <w:lang w:eastAsia="en-US"/>
        </w:rPr>
        <w:t xml:space="preserve"> контракта, контракта (договора), если иное не предусмотрено законодательством Российской Федерации, Луганской Народной Республики.</w:t>
      </w:r>
    </w:p>
    <w:p w:rsidR="00774D9B" w:rsidRPr="00774D9B" w:rsidRDefault="00774D9B" w:rsidP="00B456F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74D9B" w:rsidRPr="00774D9B" w:rsidRDefault="00774D9B" w:rsidP="00B456F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 xml:space="preserve">2. Установить, что при принятии получателями средств бюджета </w:t>
      </w:r>
      <w:r w:rsidR="00B456FB">
        <w:rPr>
          <w:rFonts w:eastAsiaTheme="minorHAnsi"/>
          <w:sz w:val="28"/>
          <w:szCs w:val="28"/>
          <w:lang w:eastAsia="en-US"/>
        </w:rPr>
        <w:t xml:space="preserve">муниципального образования городской округ город </w:t>
      </w:r>
      <w:r w:rsidR="00470A43">
        <w:rPr>
          <w:rFonts w:eastAsiaTheme="minorHAnsi"/>
          <w:sz w:val="28"/>
          <w:szCs w:val="28"/>
          <w:lang w:eastAsia="en-US"/>
        </w:rPr>
        <w:t>Красный Луч</w:t>
      </w:r>
      <w:r w:rsidR="00B456FB">
        <w:rPr>
          <w:rFonts w:eastAsiaTheme="minorHAnsi"/>
          <w:sz w:val="28"/>
          <w:szCs w:val="28"/>
          <w:lang w:eastAsia="en-US"/>
        </w:rPr>
        <w:t xml:space="preserve"> </w:t>
      </w:r>
      <w:r w:rsidRPr="00774D9B">
        <w:rPr>
          <w:rFonts w:eastAsiaTheme="minorHAnsi"/>
          <w:sz w:val="28"/>
          <w:szCs w:val="28"/>
          <w:lang w:eastAsia="en-US"/>
        </w:rPr>
        <w:t xml:space="preserve">Луганской Народной Республики бюджетных обязательств в пределах доведенных до них в установленном порядке соответствующих лимитов бюджетных обязательств на текущий финансовый год после 01 декабря текущего финансового года по </w:t>
      </w:r>
      <w:r w:rsidR="00B456FB">
        <w:rPr>
          <w:rFonts w:eastAsiaTheme="minorHAnsi"/>
          <w:sz w:val="28"/>
          <w:szCs w:val="28"/>
          <w:lang w:eastAsia="en-US"/>
        </w:rPr>
        <w:t>муниципальным</w:t>
      </w:r>
      <w:r w:rsidRPr="00774D9B">
        <w:rPr>
          <w:rFonts w:eastAsiaTheme="minorHAnsi"/>
          <w:sz w:val="28"/>
          <w:szCs w:val="28"/>
          <w:lang w:eastAsia="en-US"/>
        </w:rPr>
        <w:t xml:space="preserve"> контрактам, контрактам (договорам) на поставку товаров (выполнение работ, оказание услуг) сроки выплаты авансовых и иных платежей должны быть предусмотрены в пределах текущего финансового года.</w:t>
      </w:r>
    </w:p>
    <w:p w:rsidR="00774D9B" w:rsidRPr="00774D9B" w:rsidRDefault="00774D9B" w:rsidP="00B456F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74D9B" w:rsidRPr="00774D9B" w:rsidRDefault="00774D9B" w:rsidP="00B456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9B">
        <w:rPr>
          <w:rFonts w:eastAsiaTheme="minorHAnsi"/>
          <w:sz w:val="28"/>
          <w:szCs w:val="28"/>
          <w:lang w:eastAsia="en-US"/>
        </w:rPr>
        <w:t xml:space="preserve">3. В случае предоставления из бюджета </w:t>
      </w:r>
      <w:r w:rsidR="00B456FB" w:rsidRPr="00B456FB">
        <w:rPr>
          <w:rFonts w:eastAsiaTheme="minorHAnsi"/>
          <w:sz w:val="28"/>
          <w:szCs w:val="28"/>
          <w:lang w:eastAsia="en-US"/>
        </w:rPr>
        <w:t xml:space="preserve">муниципального образования городской округ город </w:t>
      </w:r>
      <w:r w:rsidR="00470A43">
        <w:rPr>
          <w:rFonts w:eastAsiaTheme="minorHAnsi"/>
          <w:sz w:val="28"/>
          <w:szCs w:val="28"/>
          <w:lang w:eastAsia="en-US"/>
        </w:rPr>
        <w:t>Красный Луч</w:t>
      </w:r>
      <w:r w:rsidR="00B456FB" w:rsidRPr="00B456FB">
        <w:rPr>
          <w:rFonts w:eastAsiaTheme="minorHAnsi"/>
          <w:sz w:val="28"/>
          <w:szCs w:val="28"/>
          <w:lang w:eastAsia="en-US"/>
        </w:rPr>
        <w:t xml:space="preserve"> </w:t>
      </w:r>
      <w:r w:rsidRPr="00774D9B">
        <w:rPr>
          <w:rFonts w:eastAsiaTheme="minorHAnsi"/>
          <w:sz w:val="28"/>
          <w:szCs w:val="28"/>
          <w:lang w:eastAsia="en-US"/>
        </w:rPr>
        <w:t xml:space="preserve">Луганской Народной Республики субсидий юридическим лицам (за исключением субсидий </w:t>
      </w:r>
      <w:r w:rsidR="00B456FB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774D9B">
        <w:rPr>
          <w:rFonts w:eastAsiaTheme="minorHAnsi"/>
          <w:sz w:val="28"/>
          <w:szCs w:val="28"/>
          <w:lang w:eastAsia="en-US"/>
        </w:rPr>
        <w:lastRenderedPageBreak/>
        <w:t>учреждениям), индивидуальным предпринимателям, физическим лицам – производителям товаров, работ, услуг в соглашения о предоставлении указанных субсидий включается обязательство получателя субсидии предусматривать в договорах (контрактах) на поставку товаров (выполнение</w:t>
      </w:r>
      <w:r w:rsidRPr="00774D9B">
        <w:rPr>
          <w:sz w:val="28"/>
          <w:szCs w:val="28"/>
        </w:rPr>
        <w:t xml:space="preserve"> работ, оказание услуг), источником финансового обеспечения которых являются средства субсидии, условия о выплате авансовых платежей в размере и случаях, установленных положениями части 1 настояще</w:t>
      </w:r>
      <w:r w:rsidR="00B456FB">
        <w:rPr>
          <w:sz w:val="28"/>
          <w:szCs w:val="28"/>
        </w:rPr>
        <w:t>го постановления</w:t>
      </w:r>
      <w:r w:rsidRPr="00774D9B">
        <w:rPr>
          <w:sz w:val="28"/>
          <w:szCs w:val="28"/>
        </w:rPr>
        <w:t>.</w:t>
      </w:r>
    </w:p>
    <w:p w:rsidR="00774D9B" w:rsidRPr="00774D9B" w:rsidRDefault="00774D9B" w:rsidP="00B456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74D9B" w:rsidRPr="00774D9B" w:rsidRDefault="00774D9B" w:rsidP="00B456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9B">
        <w:rPr>
          <w:sz w:val="28"/>
          <w:szCs w:val="28"/>
        </w:rPr>
        <w:t xml:space="preserve">4. Установить, что авансовые платежи не предусматриваются при заключении </w:t>
      </w:r>
      <w:r w:rsidR="00B456FB">
        <w:rPr>
          <w:sz w:val="28"/>
          <w:szCs w:val="28"/>
        </w:rPr>
        <w:t>муниципальных</w:t>
      </w:r>
      <w:r w:rsidRPr="00774D9B">
        <w:rPr>
          <w:sz w:val="28"/>
          <w:szCs w:val="28"/>
        </w:rPr>
        <w:t xml:space="preserve"> контрактов, контрактов (договоров) на поставку товаров (выполнение работ, оказание услуг) для </w:t>
      </w:r>
      <w:r w:rsidR="00B456FB">
        <w:rPr>
          <w:sz w:val="28"/>
          <w:szCs w:val="28"/>
        </w:rPr>
        <w:t>муниципальных</w:t>
      </w:r>
      <w:r w:rsidRPr="00774D9B">
        <w:rPr>
          <w:sz w:val="28"/>
          <w:szCs w:val="28"/>
        </w:rPr>
        <w:t xml:space="preserve"> нужд, предметом которых является закупка товаров (работ, услуг) за счет средств резервного фонда Правительства Луганской Народной Республики.</w:t>
      </w:r>
    </w:p>
    <w:p w:rsidR="00774D9B" w:rsidRPr="00774D9B" w:rsidRDefault="00774D9B" w:rsidP="00B456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74D9B" w:rsidRPr="00774D9B" w:rsidRDefault="00774D9B" w:rsidP="00B456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9B">
        <w:rPr>
          <w:sz w:val="28"/>
          <w:szCs w:val="28"/>
        </w:rPr>
        <w:t xml:space="preserve">5. Установить, что заключение </w:t>
      </w:r>
      <w:r w:rsidR="00B456FB">
        <w:rPr>
          <w:sz w:val="28"/>
          <w:szCs w:val="28"/>
        </w:rPr>
        <w:t>муниципальных</w:t>
      </w:r>
      <w:r w:rsidRPr="00774D9B">
        <w:rPr>
          <w:sz w:val="28"/>
          <w:szCs w:val="28"/>
        </w:rPr>
        <w:t xml:space="preserve"> контрактов главными распорядителями, распорядителями и получателями средств бюджета </w:t>
      </w:r>
      <w:r w:rsidR="00B456FB" w:rsidRPr="00B456FB">
        <w:rPr>
          <w:sz w:val="28"/>
          <w:szCs w:val="28"/>
        </w:rPr>
        <w:t xml:space="preserve">муниципального образования городской округ город </w:t>
      </w:r>
      <w:r w:rsidR="00470A43">
        <w:rPr>
          <w:rFonts w:eastAsiaTheme="minorHAnsi"/>
          <w:sz w:val="28"/>
          <w:szCs w:val="28"/>
          <w:lang w:eastAsia="en-US"/>
        </w:rPr>
        <w:t>Красный Луч</w:t>
      </w:r>
      <w:r w:rsidR="00B456FB" w:rsidRPr="00B456FB">
        <w:rPr>
          <w:sz w:val="28"/>
          <w:szCs w:val="28"/>
        </w:rPr>
        <w:t xml:space="preserve"> </w:t>
      </w:r>
      <w:r w:rsidRPr="00774D9B">
        <w:rPr>
          <w:sz w:val="28"/>
          <w:szCs w:val="28"/>
        </w:rPr>
        <w:t>Луганской Народной Республики и их оплата осуществляются в пределах доведенных лимитов бюджетных обязательств в соответствии с ведомственной структурой расходов бюджета и классификацией расходов бюджетов.</w:t>
      </w:r>
    </w:p>
    <w:p w:rsidR="006E17A8" w:rsidRPr="00161B96" w:rsidRDefault="006E17A8" w:rsidP="00B45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7A8" w:rsidRDefault="00463A72" w:rsidP="00463A72">
      <w:pPr>
        <w:pStyle w:val="a4"/>
        <w:widowControl w:val="0"/>
        <w:tabs>
          <w:tab w:val="left" w:pos="1089"/>
        </w:tabs>
        <w:autoSpaceDE w:val="0"/>
        <w:autoSpaceDN w:val="0"/>
        <w:spacing w:after="0" w:line="240" w:lineRule="auto"/>
        <w:ind w:left="0" w:right="1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56FB" w:rsidRPr="00463A72">
        <w:rPr>
          <w:rFonts w:ascii="Times New Roman" w:hAnsi="Times New Roman" w:cs="Times New Roman"/>
          <w:sz w:val="28"/>
          <w:szCs w:val="28"/>
        </w:rPr>
        <w:t>6</w:t>
      </w:r>
      <w:r w:rsidR="006E17A8" w:rsidRPr="00463A72">
        <w:rPr>
          <w:rFonts w:ascii="Times New Roman" w:hAnsi="Times New Roman" w:cs="Times New Roman"/>
          <w:sz w:val="28"/>
          <w:szCs w:val="28"/>
        </w:rPr>
        <w:t xml:space="preserve">. </w:t>
      </w:r>
      <w:r w:rsidRPr="00463A7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применяется к правоотношениям, возник</w:t>
      </w:r>
      <w:r w:rsidR="002C0388">
        <w:rPr>
          <w:rFonts w:ascii="Times New Roman" w:hAnsi="Times New Roman" w:cs="Times New Roman"/>
          <w:sz w:val="28"/>
          <w:szCs w:val="28"/>
        </w:rPr>
        <w:t>ш</w:t>
      </w:r>
      <w:r w:rsidRPr="00463A72">
        <w:rPr>
          <w:rFonts w:ascii="Times New Roman" w:hAnsi="Times New Roman" w:cs="Times New Roman"/>
          <w:sz w:val="28"/>
          <w:szCs w:val="28"/>
        </w:rPr>
        <w:t xml:space="preserve">им при  исполнении бюджета муниципального образования городской округ город Красный Луч Луганской Народной Республики </w:t>
      </w:r>
      <w:r w:rsidR="002C0388">
        <w:rPr>
          <w:rFonts w:ascii="Times New Roman" w:hAnsi="Times New Roman" w:cs="Times New Roman"/>
          <w:sz w:val="28"/>
          <w:szCs w:val="28"/>
        </w:rPr>
        <w:t>в</w:t>
      </w:r>
      <w:r w:rsidRPr="00463A72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2C0388">
        <w:rPr>
          <w:rFonts w:ascii="Times New Roman" w:hAnsi="Times New Roman" w:cs="Times New Roman"/>
          <w:sz w:val="28"/>
          <w:szCs w:val="28"/>
        </w:rPr>
        <w:t>у</w:t>
      </w:r>
      <w:r w:rsidRPr="00463A72">
        <w:rPr>
          <w:rFonts w:ascii="Times New Roman" w:hAnsi="Times New Roman" w:cs="Times New Roman"/>
          <w:sz w:val="28"/>
          <w:szCs w:val="28"/>
        </w:rPr>
        <w:t>.</w:t>
      </w:r>
    </w:p>
    <w:p w:rsidR="007C4567" w:rsidRPr="00161B96" w:rsidRDefault="007C4567" w:rsidP="00463A72">
      <w:pPr>
        <w:pStyle w:val="a4"/>
        <w:widowControl w:val="0"/>
        <w:tabs>
          <w:tab w:val="left" w:pos="1089"/>
        </w:tabs>
        <w:autoSpaceDE w:val="0"/>
        <w:autoSpaceDN w:val="0"/>
        <w:spacing w:after="0" w:line="240" w:lineRule="auto"/>
        <w:ind w:left="0" w:right="1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E17A8" w:rsidRPr="00161B96" w:rsidRDefault="00B456FB" w:rsidP="00463A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E17A8" w:rsidRPr="00161B96">
        <w:rPr>
          <w:rFonts w:ascii="Times New Roman" w:hAnsi="Times New Roman" w:cs="Times New Roman"/>
          <w:sz w:val="28"/>
          <w:szCs w:val="28"/>
        </w:rPr>
        <w:t xml:space="preserve">. 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="002C0388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управления Администрации</w:t>
      </w:r>
      <w:r w:rsidR="006E17A8" w:rsidRPr="00161B96">
        <w:rPr>
          <w:rFonts w:ascii="Times New Roman" w:hAnsi="Times New Roman" w:cs="Times New Roman"/>
          <w:sz w:val="28"/>
          <w:szCs w:val="28"/>
        </w:rPr>
        <w:t xml:space="preserve"> городского округа муниципальное образование городской округ </w:t>
      </w:r>
      <w:r w:rsidR="006E17A8" w:rsidRPr="00470A43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470A43" w:rsidRPr="00470A43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Красный Луч</w:t>
      </w:r>
      <w:r w:rsidR="006E17A8" w:rsidRPr="00161B96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 </w:t>
      </w:r>
      <w:r w:rsidR="00470A43">
        <w:rPr>
          <w:rFonts w:ascii="Times New Roman" w:hAnsi="Times New Roman" w:cs="Times New Roman"/>
          <w:sz w:val="28"/>
          <w:szCs w:val="28"/>
        </w:rPr>
        <w:t>Грибову В.Ш.</w:t>
      </w:r>
    </w:p>
    <w:p w:rsidR="006E17A8" w:rsidRPr="00161B96" w:rsidRDefault="006E17A8" w:rsidP="00F15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7A8" w:rsidRPr="00161B96" w:rsidRDefault="006E17A8" w:rsidP="00F15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7A8" w:rsidRPr="00161B96" w:rsidRDefault="006E17A8" w:rsidP="00F159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61B96">
        <w:rPr>
          <w:rFonts w:ascii="Times New Roman" w:eastAsia="Times New Roman" w:hAnsi="Times New Roman"/>
          <w:sz w:val="28"/>
          <w:szCs w:val="28"/>
        </w:rPr>
        <w:t>Глав</w:t>
      </w:r>
      <w:r w:rsidR="00F220A1" w:rsidRPr="00161B96">
        <w:rPr>
          <w:rFonts w:ascii="Times New Roman" w:eastAsia="Times New Roman" w:hAnsi="Times New Roman"/>
          <w:sz w:val="28"/>
          <w:szCs w:val="28"/>
        </w:rPr>
        <w:t>а</w:t>
      </w:r>
      <w:r w:rsidRPr="00161B96">
        <w:rPr>
          <w:rFonts w:ascii="Times New Roman" w:eastAsia="Times New Roman" w:hAnsi="Times New Roman"/>
          <w:sz w:val="28"/>
          <w:szCs w:val="28"/>
        </w:rPr>
        <w:t xml:space="preserve"> городского округа</w:t>
      </w:r>
    </w:p>
    <w:p w:rsidR="006E17A8" w:rsidRPr="00161B96" w:rsidRDefault="006E17A8" w:rsidP="00F159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61B96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470A43" w:rsidRDefault="006E17A8" w:rsidP="00F159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61B96">
        <w:rPr>
          <w:rFonts w:ascii="Times New Roman" w:eastAsia="Times New Roman" w:hAnsi="Times New Roman"/>
          <w:sz w:val="28"/>
          <w:szCs w:val="28"/>
        </w:rPr>
        <w:t xml:space="preserve">городской округ город </w:t>
      </w:r>
      <w:r w:rsidR="00470A43" w:rsidRPr="00470A43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Красный Луч</w:t>
      </w:r>
      <w:r w:rsidR="00470A43" w:rsidRPr="00774D9B">
        <w:rPr>
          <w:rFonts w:eastAsiaTheme="minorHAnsi"/>
          <w:sz w:val="28"/>
          <w:szCs w:val="28"/>
          <w:lang w:eastAsia="en-US"/>
        </w:rPr>
        <w:t xml:space="preserve"> </w:t>
      </w:r>
    </w:p>
    <w:p w:rsidR="006E17A8" w:rsidRPr="00161B96" w:rsidRDefault="006E17A8" w:rsidP="00F159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61B96">
        <w:rPr>
          <w:rFonts w:ascii="Times New Roman" w:eastAsia="Times New Roman" w:hAnsi="Times New Roman"/>
          <w:sz w:val="28"/>
          <w:szCs w:val="28"/>
        </w:rPr>
        <w:t>Л</w:t>
      </w:r>
      <w:r w:rsidR="00470A43">
        <w:rPr>
          <w:rFonts w:ascii="Times New Roman" w:eastAsia="Times New Roman" w:hAnsi="Times New Roman"/>
          <w:sz w:val="28"/>
          <w:szCs w:val="28"/>
        </w:rPr>
        <w:t>уганской Народной Республики</w:t>
      </w:r>
      <w:r w:rsidR="00470A43">
        <w:rPr>
          <w:rFonts w:ascii="Times New Roman" w:eastAsia="Times New Roman" w:hAnsi="Times New Roman"/>
          <w:sz w:val="28"/>
          <w:szCs w:val="28"/>
        </w:rPr>
        <w:tab/>
      </w:r>
      <w:r w:rsidR="00470A43">
        <w:rPr>
          <w:rFonts w:ascii="Times New Roman" w:eastAsia="Times New Roman" w:hAnsi="Times New Roman"/>
          <w:sz w:val="28"/>
          <w:szCs w:val="28"/>
        </w:rPr>
        <w:tab/>
        <w:t xml:space="preserve">      </w:t>
      </w:r>
      <w:r w:rsidRPr="00161B96">
        <w:rPr>
          <w:rFonts w:ascii="Times New Roman" w:eastAsia="Times New Roman" w:hAnsi="Times New Roman"/>
          <w:sz w:val="28"/>
          <w:szCs w:val="28"/>
        </w:rPr>
        <w:tab/>
      </w:r>
      <w:r w:rsidR="00F220A1" w:rsidRPr="00161B96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470A43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="00F220A1" w:rsidRPr="00161B96">
        <w:rPr>
          <w:rFonts w:ascii="Times New Roman" w:eastAsia="Times New Roman" w:hAnsi="Times New Roman"/>
          <w:sz w:val="28"/>
          <w:szCs w:val="28"/>
        </w:rPr>
        <w:t xml:space="preserve">  </w:t>
      </w:r>
      <w:r w:rsidR="00470A43">
        <w:rPr>
          <w:rFonts w:ascii="Times New Roman" w:eastAsia="Times New Roman" w:hAnsi="Times New Roman"/>
          <w:sz w:val="28"/>
          <w:szCs w:val="28"/>
        </w:rPr>
        <w:t>С.В. Соловьев</w:t>
      </w:r>
    </w:p>
    <w:sectPr w:rsidR="006E17A8" w:rsidRPr="00161B96" w:rsidSect="007C4567">
      <w:headerReference w:type="default" r:id="rId7"/>
      <w:footerReference w:type="default" r:id="rId8"/>
      <w:headerReference w:type="firs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E99" w:rsidRDefault="003A6E99" w:rsidP="00194A13">
      <w:pPr>
        <w:spacing w:after="0" w:line="240" w:lineRule="auto"/>
      </w:pPr>
      <w:r>
        <w:separator/>
      </w:r>
    </w:p>
  </w:endnote>
  <w:endnote w:type="continuationSeparator" w:id="1">
    <w:p w:rsidR="003A6E99" w:rsidRDefault="003A6E99" w:rsidP="0019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D9B" w:rsidRDefault="00774D9B">
    <w:pPr>
      <w:pStyle w:val="a8"/>
    </w:pPr>
  </w:p>
  <w:p w:rsidR="00774D9B" w:rsidRDefault="00774D9B">
    <w:pPr>
      <w:pStyle w:val="a8"/>
    </w:pPr>
  </w:p>
  <w:p w:rsidR="00774D9B" w:rsidRDefault="00774D9B">
    <w:pPr>
      <w:pStyle w:val="a8"/>
    </w:pPr>
  </w:p>
  <w:p w:rsidR="00774D9B" w:rsidRDefault="00774D9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E99" w:rsidRDefault="003A6E99" w:rsidP="00194A13">
      <w:pPr>
        <w:spacing w:after="0" w:line="240" w:lineRule="auto"/>
      </w:pPr>
      <w:r>
        <w:separator/>
      </w:r>
    </w:p>
  </w:footnote>
  <w:footnote w:type="continuationSeparator" w:id="1">
    <w:p w:rsidR="003A6E99" w:rsidRDefault="003A6E99" w:rsidP="00194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5253"/>
      <w:docPartObj>
        <w:docPartGallery w:val="Page Numbers (Top of Page)"/>
        <w:docPartUnique/>
      </w:docPartObj>
    </w:sdtPr>
    <w:sdtContent>
      <w:p w:rsidR="007C4567" w:rsidRDefault="001C387F">
        <w:pPr>
          <w:pStyle w:val="a6"/>
          <w:jc w:val="center"/>
        </w:pPr>
        <w:fldSimple w:instr=" PAGE   \* MERGEFORMAT ">
          <w:r w:rsidR="00EC4A90">
            <w:rPr>
              <w:noProof/>
            </w:rPr>
            <w:t>4</w:t>
          </w:r>
        </w:fldSimple>
      </w:p>
    </w:sdtContent>
  </w:sdt>
  <w:p w:rsidR="007C4567" w:rsidRPr="007C4567" w:rsidRDefault="007C4567" w:rsidP="007C4567">
    <w:pPr>
      <w:pStyle w:val="a6"/>
      <w:tabs>
        <w:tab w:val="clear" w:pos="4677"/>
        <w:tab w:val="clear" w:pos="9355"/>
        <w:tab w:val="left" w:pos="7515"/>
      </w:tabs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67" w:rsidRPr="00CD652E" w:rsidRDefault="007C4567" w:rsidP="007C4567">
    <w:pPr>
      <w:pStyle w:val="a6"/>
      <w:tabs>
        <w:tab w:val="clear" w:pos="4677"/>
        <w:tab w:val="clear" w:pos="9355"/>
        <w:tab w:val="left" w:pos="7470"/>
      </w:tabs>
      <w:rPr>
        <w:rFonts w:ascii="Times New Roman" w:hAnsi="Times New Roman" w:cs="Times New Roman"/>
        <w:color w:val="FFFFFF" w:themeColor="background1"/>
        <w:sz w:val="28"/>
        <w:szCs w:val="28"/>
      </w:rPr>
    </w:pPr>
    <w:r>
      <w:tab/>
    </w:r>
    <w:r w:rsidRPr="00CD652E">
      <w:rPr>
        <w:rFonts w:ascii="Times New Roman" w:hAnsi="Times New Roman" w:cs="Times New Roman"/>
        <w:color w:val="FFFFFF" w:themeColor="background1"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23423"/>
    <w:multiLevelType w:val="hybridMultilevel"/>
    <w:tmpl w:val="D0B0856C"/>
    <w:lvl w:ilvl="0" w:tplc="28E2DE1C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9816A8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9E28DCD6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3" w:tplc="807EC264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4" w:tplc="0F7ED8F4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A7223FD2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EA06976C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94669E58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209A2508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17A8"/>
    <w:rsid w:val="00030904"/>
    <w:rsid w:val="000359FC"/>
    <w:rsid w:val="0003677D"/>
    <w:rsid w:val="00041414"/>
    <w:rsid w:val="000457DA"/>
    <w:rsid w:val="0006029E"/>
    <w:rsid w:val="0006080A"/>
    <w:rsid w:val="000971F2"/>
    <w:rsid w:val="000B01E4"/>
    <w:rsid w:val="000D3E05"/>
    <w:rsid w:val="000F641F"/>
    <w:rsid w:val="00102A7B"/>
    <w:rsid w:val="00106E63"/>
    <w:rsid w:val="00107006"/>
    <w:rsid w:val="00133629"/>
    <w:rsid w:val="0015432C"/>
    <w:rsid w:val="001553D4"/>
    <w:rsid w:val="001611EC"/>
    <w:rsid w:val="00161B96"/>
    <w:rsid w:val="001731F4"/>
    <w:rsid w:val="00194A13"/>
    <w:rsid w:val="001960F6"/>
    <w:rsid w:val="001A2C78"/>
    <w:rsid w:val="001A5514"/>
    <w:rsid w:val="001C387F"/>
    <w:rsid w:val="001E70F9"/>
    <w:rsid w:val="00217C41"/>
    <w:rsid w:val="00233FA4"/>
    <w:rsid w:val="002573C2"/>
    <w:rsid w:val="0025749A"/>
    <w:rsid w:val="0026556C"/>
    <w:rsid w:val="0028535A"/>
    <w:rsid w:val="00295E4F"/>
    <w:rsid w:val="002A7D6A"/>
    <w:rsid w:val="002C0388"/>
    <w:rsid w:val="002D4E40"/>
    <w:rsid w:val="002E5F98"/>
    <w:rsid w:val="0034605A"/>
    <w:rsid w:val="00385D96"/>
    <w:rsid w:val="00394178"/>
    <w:rsid w:val="003A2201"/>
    <w:rsid w:val="003A6E99"/>
    <w:rsid w:val="003B6C06"/>
    <w:rsid w:val="003D0047"/>
    <w:rsid w:val="003D01E4"/>
    <w:rsid w:val="003E1968"/>
    <w:rsid w:val="003F0ACA"/>
    <w:rsid w:val="00416E6C"/>
    <w:rsid w:val="004265BC"/>
    <w:rsid w:val="00457D21"/>
    <w:rsid w:val="00463A72"/>
    <w:rsid w:val="00470A43"/>
    <w:rsid w:val="00471546"/>
    <w:rsid w:val="004A20E8"/>
    <w:rsid w:val="004A3E41"/>
    <w:rsid w:val="004D3091"/>
    <w:rsid w:val="004D5486"/>
    <w:rsid w:val="004E15C4"/>
    <w:rsid w:val="00522BC3"/>
    <w:rsid w:val="00524E81"/>
    <w:rsid w:val="00541F60"/>
    <w:rsid w:val="00561F08"/>
    <w:rsid w:val="00645643"/>
    <w:rsid w:val="00691786"/>
    <w:rsid w:val="006B4215"/>
    <w:rsid w:val="006C48FD"/>
    <w:rsid w:val="006C7F84"/>
    <w:rsid w:val="006E17A8"/>
    <w:rsid w:val="006E427D"/>
    <w:rsid w:val="006E571F"/>
    <w:rsid w:val="0071324D"/>
    <w:rsid w:val="0071731E"/>
    <w:rsid w:val="0073034B"/>
    <w:rsid w:val="00735DFF"/>
    <w:rsid w:val="00737629"/>
    <w:rsid w:val="00754CAE"/>
    <w:rsid w:val="0075662A"/>
    <w:rsid w:val="00760731"/>
    <w:rsid w:val="0076084A"/>
    <w:rsid w:val="00774D9B"/>
    <w:rsid w:val="007B50BA"/>
    <w:rsid w:val="007C4567"/>
    <w:rsid w:val="007D1948"/>
    <w:rsid w:val="0084057E"/>
    <w:rsid w:val="00845133"/>
    <w:rsid w:val="00871C16"/>
    <w:rsid w:val="00872F1C"/>
    <w:rsid w:val="00874B7F"/>
    <w:rsid w:val="0089114A"/>
    <w:rsid w:val="008A5754"/>
    <w:rsid w:val="008B708A"/>
    <w:rsid w:val="008C0A5B"/>
    <w:rsid w:val="008C53F8"/>
    <w:rsid w:val="008D4860"/>
    <w:rsid w:val="008D525E"/>
    <w:rsid w:val="0092350F"/>
    <w:rsid w:val="00941634"/>
    <w:rsid w:val="0094505E"/>
    <w:rsid w:val="00945786"/>
    <w:rsid w:val="00950CD3"/>
    <w:rsid w:val="00953320"/>
    <w:rsid w:val="0096720A"/>
    <w:rsid w:val="00986681"/>
    <w:rsid w:val="00996D9B"/>
    <w:rsid w:val="009A7376"/>
    <w:rsid w:val="009E5819"/>
    <w:rsid w:val="00A0772A"/>
    <w:rsid w:val="00A36EA3"/>
    <w:rsid w:val="00A46D37"/>
    <w:rsid w:val="00A513E1"/>
    <w:rsid w:val="00A707B0"/>
    <w:rsid w:val="00A76012"/>
    <w:rsid w:val="00A97EE5"/>
    <w:rsid w:val="00AA08D1"/>
    <w:rsid w:val="00AC10AA"/>
    <w:rsid w:val="00AD6D64"/>
    <w:rsid w:val="00AE7AA6"/>
    <w:rsid w:val="00B10787"/>
    <w:rsid w:val="00B1778D"/>
    <w:rsid w:val="00B24215"/>
    <w:rsid w:val="00B26256"/>
    <w:rsid w:val="00B333EE"/>
    <w:rsid w:val="00B37AEA"/>
    <w:rsid w:val="00B456FB"/>
    <w:rsid w:val="00B61C84"/>
    <w:rsid w:val="00B66099"/>
    <w:rsid w:val="00B8470A"/>
    <w:rsid w:val="00B9624C"/>
    <w:rsid w:val="00B96E60"/>
    <w:rsid w:val="00BA08A1"/>
    <w:rsid w:val="00BA341B"/>
    <w:rsid w:val="00BA702A"/>
    <w:rsid w:val="00BB18B9"/>
    <w:rsid w:val="00BB693B"/>
    <w:rsid w:val="00BC0475"/>
    <w:rsid w:val="00BC578C"/>
    <w:rsid w:val="00BD5DE2"/>
    <w:rsid w:val="00C001EA"/>
    <w:rsid w:val="00C30B8A"/>
    <w:rsid w:val="00C4278C"/>
    <w:rsid w:val="00C5179E"/>
    <w:rsid w:val="00C71E19"/>
    <w:rsid w:val="00C72303"/>
    <w:rsid w:val="00C73635"/>
    <w:rsid w:val="00C940F0"/>
    <w:rsid w:val="00CB234E"/>
    <w:rsid w:val="00CB4BDF"/>
    <w:rsid w:val="00CB6C82"/>
    <w:rsid w:val="00CC574B"/>
    <w:rsid w:val="00CD652E"/>
    <w:rsid w:val="00CE116C"/>
    <w:rsid w:val="00CE2209"/>
    <w:rsid w:val="00CF3130"/>
    <w:rsid w:val="00D16D55"/>
    <w:rsid w:val="00D3033B"/>
    <w:rsid w:val="00D33729"/>
    <w:rsid w:val="00D41C53"/>
    <w:rsid w:val="00D51687"/>
    <w:rsid w:val="00D729FA"/>
    <w:rsid w:val="00D75F12"/>
    <w:rsid w:val="00DA62E3"/>
    <w:rsid w:val="00DA7E9A"/>
    <w:rsid w:val="00DB01F9"/>
    <w:rsid w:val="00DE3303"/>
    <w:rsid w:val="00DF53DD"/>
    <w:rsid w:val="00E03EBF"/>
    <w:rsid w:val="00E07A87"/>
    <w:rsid w:val="00E13BB5"/>
    <w:rsid w:val="00E264B2"/>
    <w:rsid w:val="00E335F5"/>
    <w:rsid w:val="00E34A2E"/>
    <w:rsid w:val="00E41EDA"/>
    <w:rsid w:val="00E43FD0"/>
    <w:rsid w:val="00E63BBC"/>
    <w:rsid w:val="00E63D68"/>
    <w:rsid w:val="00E65A09"/>
    <w:rsid w:val="00E92031"/>
    <w:rsid w:val="00EC4A90"/>
    <w:rsid w:val="00ED055B"/>
    <w:rsid w:val="00EE3E58"/>
    <w:rsid w:val="00EF7F83"/>
    <w:rsid w:val="00F027D4"/>
    <w:rsid w:val="00F0730B"/>
    <w:rsid w:val="00F108DB"/>
    <w:rsid w:val="00F159D9"/>
    <w:rsid w:val="00F20797"/>
    <w:rsid w:val="00F220A1"/>
    <w:rsid w:val="00F42F7E"/>
    <w:rsid w:val="00F43840"/>
    <w:rsid w:val="00F72E86"/>
    <w:rsid w:val="00F75B53"/>
    <w:rsid w:val="00FA3BC4"/>
    <w:rsid w:val="00FC7D55"/>
    <w:rsid w:val="00FE6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17A8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b/>
    </w:rPr>
  </w:style>
  <w:style w:type="paragraph" w:styleId="a3">
    <w:name w:val="Normal (Web)"/>
    <w:basedOn w:val="a"/>
    <w:uiPriority w:val="99"/>
    <w:unhideWhenUsed/>
    <w:rsid w:val="006E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1960F6"/>
    <w:pPr>
      <w:ind w:left="720"/>
      <w:contextualSpacing/>
    </w:pPr>
  </w:style>
  <w:style w:type="table" w:styleId="a5">
    <w:name w:val="Table Grid"/>
    <w:basedOn w:val="a1"/>
    <w:uiPriority w:val="59"/>
    <w:rsid w:val="002A7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94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4A13"/>
  </w:style>
  <w:style w:type="paragraph" w:styleId="a8">
    <w:name w:val="footer"/>
    <w:basedOn w:val="a"/>
    <w:link w:val="a9"/>
    <w:uiPriority w:val="99"/>
    <w:unhideWhenUsed/>
    <w:rsid w:val="00194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4A13"/>
  </w:style>
  <w:style w:type="paragraph" w:styleId="aa">
    <w:name w:val="Balloon Text"/>
    <w:basedOn w:val="a"/>
    <w:link w:val="ab"/>
    <w:uiPriority w:val="99"/>
    <w:semiHidden/>
    <w:unhideWhenUsed/>
    <w:rsid w:val="0099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6D9B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qFormat/>
    <w:rsid w:val="00871C16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871C1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871C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17A8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b/>
    </w:rPr>
  </w:style>
  <w:style w:type="paragraph" w:styleId="a3">
    <w:name w:val="Normal (Web)"/>
    <w:basedOn w:val="a"/>
    <w:uiPriority w:val="99"/>
    <w:unhideWhenUsed/>
    <w:rsid w:val="006E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960F6"/>
    <w:pPr>
      <w:ind w:left="720"/>
      <w:contextualSpacing/>
    </w:pPr>
  </w:style>
  <w:style w:type="table" w:styleId="a5">
    <w:name w:val="Table Grid"/>
    <w:basedOn w:val="a1"/>
    <w:uiPriority w:val="59"/>
    <w:rsid w:val="002A7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94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4A13"/>
  </w:style>
  <w:style w:type="paragraph" w:styleId="a8">
    <w:name w:val="footer"/>
    <w:basedOn w:val="a"/>
    <w:link w:val="a9"/>
    <w:uiPriority w:val="99"/>
    <w:unhideWhenUsed/>
    <w:rsid w:val="00194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4A13"/>
  </w:style>
  <w:style w:type="paragraph" w:styleId="aa">
    <w:name w:val="Balloon Text"/>
    <w:basedOn w:val="a"/>
    <w:link w:val="ab"/>
    <w:uiPriority w:val="99"/>
    <w:semiHidden/>
    <w:unhideWhenUsed/>
    <w:rsid w:val="0099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6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4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14</cp:revision>
  <cp:lastPrinted>2024-03-11T11:49:00Z</cp:lastPrinted>
  <dcterms:created xsi:type="dcterms:W3CDTF">2024-03-06T08:03:00Z</dcterms:created>
  <dcterms:modified xsi:type="dcterms:W3CDTF">2024-03-12T09:30:00Z</dcterms:modified>
</cp:coreProperties>
</file>