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E2" w:rsidRPr="007C15AA" w:rsidRDefault="007758AE" w:rsidP="00C3614C">
      <w:pPr>
        <w:spacing w:line="276" w:lineRule="auto"/>
        <w:rPr>
          <w:rFonts w:ascii="Times New Roman" w:hAnsi="Times New Roman" w:cs="Times New Roman"/>
          <w:b/>
          <w:sz w:val="28"/>
          <w:szCs w:val="28"/>
        </w:rPr>
      </w:pPr>
      <w:r>
        <w:rPr>
          <w:rFonts w:ascii="Times New Roman" w:hAnsi="Times New Roman" w:cs="Times New Roman"/>
          <w:b/>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8D744C" w:rsidRPr="00E4587A" w:rsidRDefault="008D744C" w:rsidP="00790260">
      <w:pPr>
        <w:spacing w:line="240" w:lineRule="auto"/>
        <w:rPr>
          <w:rFonts w:ascii="Times New Roman" w:hAnsi="Times New Roman" w:cs="Times New Roman"/>
          <w:b/>
          <w:sz w:val="20"/>
          <w:szCs w:val="20"/>
        </w:rPr>
      </w:pPr>
    </w:p>
    <w:p w:rsidR="008D744C" w:rsidRPr="007C15AA" w:rsidRDefault="008D744C" w:rsidP="00790260">
      <w:pPr>
        <w:spacing w:line="240" w:lineRule="auto"/>
        <w:rPr>
          <w:rFonts w:ascii="Times New Roman" w:hAnsi="Times New Roman" w:cs="Times New Roman"/>
          <w:b/>
          <w:sz w:val="28"/>
          <w:szCs w:val="28"/>
        </w:rPr>
      </w:pPr>
      <w:r w:rsidRPr="007C15AA">
        <w:rPr>
          <w:rFonts w:ascii="Times New Roman" w:hAnsi="Times New Roman" w:cs="Times New Roman"/>
          <w:b/>
          <w:sz w:val="28"/>
          <w:szCs w:val="28"/>
        </w:rPr>
        <w:t>ПОСТАНОВЛЕНИЕ</w:t>
      </w:r>
    </w:p>
    <w:p w:rsidR="007C15AA" w:rsidRPr="007C15AA" w:rsidRDefault="007C15AA" w:rsidP="007C15AA">
      <w:pPr>
        <w:spacing w:line="240" w:lineRule="auto"/>
        <w:rPr>
          <w:rFonts w:ascii="Times New Roman" w:hAnsi="Times New Roman" w:cs="Times New Roman"/>
          <w:sz w:val="20"/>
          <w:szCs w:val="20"/>
        </w:rPr>
      </w:pPr>
    </w:p>
    <w:p w:rsidR="008D744C" w:rsidRDefault="00E97C3D" w:rsidP="00790260">
      <w:pPr>
        <w:spacing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22</w:t>
      </w:r>
      <w:r w:rsidR="008D744C">
        <w:rPr>
          <w:rFonts w:ascii="Times New Roman" w:hAnsi="Times New Roman" w:cs="Times New Roman"/>
          <w:sz w:val="28"/>
          <w:szCs w:val="28"/>
        </w:rPr>
        <w:t xml:space="preserve"> </w:t>
      </w:r>
      <w:r>
        <w:rPr>
          <w:rFonts w:ascii="Times New Roman" w:hAnsi="Times New Roman" w:cs="Times New Roman"/>
          <w:sz w:val="28"/>
          <w:szCs w:val="28"/>
        </w:rPr>
        <w:t xml:space="preserve">декабря 2023 </w:t>
      </w:r>
      <w:r w:rsidR="008D744C">
        <w:rPr>
          <w:rFonts w:ascii="Times New Roman" w:hAnsi="Times New Roman" w:cs="Times New Roman"/>
          <w:sz w:val="28"/>
          <w:szCs w:val="28"/>
        </w:rPr>
        <w:t xml:space="preserve">г.                                   </w:t>
      </w:r>
      <w:r>
        <w:rPr>
          <w:rFonts w:ascii="Times New Roman" w:hAnsi="Times New Roman" w:cs="Times New Roman"/>
          <w:sz w:val="28"/>
          <w:szCs w:val="28"/>
        </w:rPr>
        <w:t xml:space="preserve">                                           № 12 </w:t>
      </w:r>
    </w:p>
    <w:p w:rsidR="008D744C" w:rsidRDefault="008D744C" w:rsidP="00790260">
      <w:pPr>
        <w:spacing w:line="240" w:lineRule="auto"/>
        <w:rPr>
          <w:rFonts w:ascii="Times New Roman" w:hAnsi="Times New Roman" w:cs="Times New Roman"/>
          <w:sz w:val="28"/>
          <w:szCs w:val="28"/>
        </w:rPr>
      </w:pPr>
      <w:r>
        <w:rPr>
          <w:rFonts w:ascii="Times New Roman" w:hAnsi="Times New Roman" w:cs="Times New Roman"/>
          <w:sz w:val="28"/>
          <w:szCs w:val="28"/>
        </w:rPr>
        <w:t xml:space="preserve">г. </w:t>
      </w:r>
      <w:r w:rsidR="0027668B">
        <w:rPr>
          <w:rFonts w:ascii="Times New Roman" w:hAnsi="Times New Roman" w:cs="Times New Roman"/>
          <w:sz w:val="28"/>
          <w:szCs w:val="28"/>
        </w:rPr>
        <w:t>Красный Луч</w:t>
      </w:r>
    </w:p>
    <w:p w:rsidR="008D744C" w:rsidRDefault="008D744C" w:rsidP="00790260">
      <w:pPr>
        <w:spacing w:line="240" w:lineRule="auto"/>
        <w:rPr>
          <w:rFonts w:ascii="Times New Roman" w:hAnsi="Times New Roman" w:cs="Times New Roman"/>
          <w:sz w:val="28"/>
          <w:szCs w:val="28"/>
        </w:rPr>
      </w:pPr>
    </w:p>
    <w:p w:rsidR="00790260" w:rsidRDefault="008D744C" w:rsidP="00790260">
      <w:pPr>
        <w:spacing w:line="240" w:lineRule="auto"/>
        <w:rPr>
          <w:rFonts w:ascii="Times New Roman" w:hAnsi="Times New Roman" w:cs="Times New Roman"/>
          <w:b/>
          <w:sz w:val="28"/>
          <w:szCs w:val="28"/>
        </w:rPr>
      </w:pPr>
      <w:r w:rsidRPr="00790260">
        <w:rPr>
          <w:rFonts w:ascii="Times New Roman" w:hAnsi="Times New Roman" w:cs="Times New Roman"/>
          <w:b/>
          <w:sz w:val="28"/>
          <w:szCs w:val="28"/>
        </w:rPr>
        <w:t xml:space="preserve">Об утверждении показателей прогноза социально-экономического развития муниципального образования городской округ </w:t>
      </w:r>
    </w:p>
    <w:p w:rsidR="008D744C" w:rsidRPr="00790260" w:rsidRDefault="008D744C" w:rsidP="00790260">
      <w:pPr>
        <w:spacing w:line="240" w:lineRule="auto"/>
        <w:rPr>
          <w:rFonts w:ascii="Times New Roman" w:hAnsi="Times New Roman" w:cs="Times New Roman"/>
          <w:b/>
          <w:sz w:val="28"/>
          <w:szCs w:val="28"/>
        </w:rPr>
      </w:pPr>
      <w:r w:rsidRPr="00790260">
        <w:rPr>
          <w:rFonts w:ascii="Times New Roman" w:hAnsi="Times New Roman" w:cs="Times New Roman"/>
          <w:b/>
          <w:sz w:val="28"/>
          <w:szCs w:val="28"/>
        </w:rPr>
        <w:t>город Красный Луч Луганской Народной Республики</w:t>
      </w:r>
      <w:r w:rsidR="00C3614C" w:rsidRPr="00790260">
        <w:rPr>
          <w:rFonts w:ascii="Times New Roman" w:hAnsi="Times New Roman" w:cs="Times New Roman"/>
          <w:b/>
          <w:sz w:val="28"/>
          <w:szCs w:val="28"/>
        </w:rPr>
        <w:t xml:space="preserve"> на 2024 год</w:t>
      </w:r>
    </w:p>
    <w:p w:rsidR="00C3614C" w:rsidRDefault="00C3614C" w:rsidP="00790260">
      <w:pPr>
        <w:spacing w:line="240" w:lineRule="auto"/>
        <w:rPr>
          <w:rFonts w:ascii="Times New Roman" w:hAnsi="Times New Roman" w:cs="Times New Roman"/>
          <w:sz w:val="28"/>
          <w:szCs w:val="28"/>
        </w:rPr>
      </w:pPr>
    </w:p>
    <w:p w:rsidR="00C3614C" w:rsidRDefault="00C3614C" w:rsidP="00454D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C374B">
        <w:rPr>
          <w:rFonts w:ascii="Times New Roman" w:hAnsi="Times New Roman" w:cs="Times New Roman"/>
          <w:sz w:val="28"/>
          <w:szCs w:val="28"/>
        </w:rPr>
        <w:t>соответствии со статьей 172,173 и 184</w:t>
      </w:r>
      <w:r w:rsidR="00454D88">
        <w:rPr>
          <w:rFonts w:ascii="Times New Roman" w:hAnsi="Times New Roman" w:cs="Times New Roman"/>
          <w:sz w:val="28"/>
          <w:szCs w:val="28"/>
          <w:vertAlign w:val="superscript"/>
        </w:rPr>
        <w:t>2</w:t>
      </w:r>
      <w:r w:rsidR="00790260" w:rsidRPr="00AC374B">
        <w:rPr>
          <w:rFonts w:ascii="Times New Roman" w:hAnsi="Times New Roman" w:cs="Times New Roman"/>
          <w:sz w:val="28"/>
          <w:szCs w:val="28"/>
        </w:rPr>
        <w:t xml:space="preserve"> Бюджетного кодекса Российской Федерации, статьей 7 Положения о бюджетном процессе в муниципальном образовании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w:t>
      </w:r>
      <w:r w:rsidR="00AC374B">
        <w:rPr>
          <w:rFonts w:ascii="Times New Roman" w:hAnsi="Times New Roman" w:cs="Times New Roman"/>
          <w:sz w:val="28"/>
          <w:szCs w:val="28"/>
        </w:rPr>
        <w:t>11 декабря 2023 г</w:t>
      </w:r>
      <w:r w:rsidR="00AC374B" w:rsidRPr="006C7031">
        <w:rPr>
          <w:rFonts w:ascii="Times New Roman" w:hAnsi="Times New Roman" w:cs="Times New Roman"/>
          <w:sz w:val="28"/>
          <w:szCs w:val="28"/>
        </w:rPr>
        <w:t xml:space="preserve">. </w:t>
      </w:r>
      <w:r w:rsidR="007758AE" w:rsidRPr="006C7031">
        <w:rPr>
          <w:rFonts w:ascii="Times New Roman" w:hAnsi="Times New Roman" w:cs="Times New Roman"/>
          <w:sz w:val="28"/>
          <w:szCs w:val="28"/>
        </w:rPr>
        <w:t>№ 1</w:t>
      </w:r>
      <w:r w:rsidR="00AC374B" w:rsidRPr="006C7031">
        <w:rPr>
          <w:rFonts w:ascii="Times New Roman" w:hAnsi="Times New Roman" w:cs="Times New Roman"/>
          <w:sz w:val="28"/>
          <w:szCs w:val="28"/>
        </w:rPr>
        <w:t>:</w:t>
      </w:r>
    </w:p>
    <w:p w:rsidR="007758AE" w:rsidRPr="007758AE" w:rsidRDefault="007758AE" w:rsidP="007758AE">
      <w:pPr>
        <w:spacing w:line="240" w:lineRule="auto"/>
        <w:ind w:firstLine="709"/>
        <w:jc w:val="both"/>
        <w:rPr>
          <w:rFonts w:ascii="Times New Roman" w:hAnsi="Times New Roman" w:cs="Times New Roman"/>
        </w:rPr>
      </w:pPr>
    </w:p>
    <w:p w:rsidR="00790260" w:rsidRDefault="007758AE" w:rsidP="007758AE">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ПОСТАНОВЛЯЕТ:</w:t>
      </w:r>
    </w:p>
    <w:p w:rsidR="007758AE" w:rsidRPr="007758AE" w:rsidRDefault="007758AE" w:rsidP="007758AE">
      <w:pPr>
        <w:spacing w:line="240" w:lineRule="auto"/>
        <w:ind w:firstLine="709"/>
        <w:jc w:val="both"/>
        <w:rPr>
          <w:rFonts w:ascii="Times New Roman" w:hAnsi="Times New Roman" w:cs="Times New Roman"/>
          <w:sz w:val="20"/>
          <w:szCs w:val="20"/>
        </w:rPr>
      </w:pPr>
    </w:p>
    <w:p w:rsidR="00790260" w:rsidRDefault="00790260" w:rsidP="00AC37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790260" w:rsidRDefault="00790260" w:rsidP="00AC37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 Показатели прогноза социально-экономического развития муниципального образования</w:t>
      </w:r>
      <w:r w:rsidRPr="00790260">
        <w:rPr>
          <w:rFonts w:ascii="Times New Roman" w:hAnsi="Times New Roman" w:cs="Times New Roman"/>
          <w:sz w:val="28"/>
          <w:szCs w:val="28"/>
        </w:rPr>
        <w:t xml:space="preserve"> городской округ город Красный Луч Луганской</w:t>
      </w:r>
      <w:r>
        <w:rPr>
          <w:rFonts w:ascii="Times New Roman" w:hAnsi="Times New Roman" w:cs="Times New Roman"/>
          <w:sz w:val="28"/>
          <w:szCs w:val="28"/>
        </w:rPr>
        <w:t xml:space="preserve"> Народной Республики на 2024 год согласно приложению 1 к настоящему постановлению.</w:t>
      </w:r>
    </w:p>
    <w:p w:rsidR="00790260" w:rsidRDefault="00790260" w:rsidP="00AC37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Пояснительную записку к показателям прогноза социально-экономического </w:t>
      </w:r>
      <w:r w:rsidRPr="00790260">
        <w:rPr>
          <w:rFonts w:ascii="Times New Roman" w:hAnsi="Times New Roman" w:cs="Times New Roman"/>
          <w:sz w:val="28"/>
          <w:szCs w:val="28"/>
        </w:rPr>
        <w:t>развития муниципального образования городской округ город Красный Луч Луганск</w:t>
      </w:r>
      <w:r>
        <w:rPr>
          <w:rFonts w:ascii="Times New Roman" w:hAnsi="Times New Roman" w:cs="Times New Roman"/>
          <w:sz w:val="28"/>
          <w:szCs w:val="28"/>
        </w:rPr>
        <w:t>ой Народной Республики на 2024 год согласно приложению 2 к настоящему постановлению.</w:t>
      </w:r>
    </w:p>
    <w:p w:rsidR="00B361E6" w:rsidRDefault="00255448" w:rsidP="00AC37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361E6">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его подписания и подлежит опубликованию.</w:t>
      </w:r>
    </w:p>
    <w:p w:rsidR="00AC374B" w:rsidRDefault="00AC374B" w:rsidP="00477753">
      <w:pPr>
        <w:spacing w:line="276" w:lineRule="auto"/>
        <w:jc w:val="both"/>
        <w:rPr>
          <w:rFonts w:ascii="Times New Roman" w:hAnsi="Times New Roman" w:cs="Times New Roman"/>
          <w:sz w:val="28"/>
          <w:szCs w:val="28"/>
        </w:rPr>
      </w:pPr>
    </w:p>
    <w:p w:rsidR="00255448" w:rsidRDefault="00255448" w:rsidP="00477753">
      <w:pPr>
        <w:spacing w:line="276" w:lineRule="auto"/>
        <w:jc w:val="both"/>
        <w:rPr>
          <w:rFonts w:ascii="Times New Roman" w:hAnsi="Times New Roman" w:cs="Times New Roman"/>
          <w:sz w:val="28"/>
          <w:szCs w:val="28"/>
        </w:rPr>
      </w:pPr>
    </w:p>
    <w:p w:rsidR="00AC374B" w:rsidRPr="00AC374B" w:rsidRDefault="00AC374B" w:rsidP="00AC37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AC374B">
        <w:rPr>
          <w:rFonts w:ascii="Times New Roman" w:hAnsi="Times New Roman" w:cs="Times New Roman"/>
          <w:sz w:val="28"/>
          <w:szCs w:val="28"/>
        </w:rPr>
        <w:t>городского округа</w:t>
      </w:r>
    </w:p>
    <w:p w:rsidR="00AC374B" w:rsidRPr="00AC374B" w:rsidRDefault="00AC374B" w:rsidP="00AC374B">
      <w:pPr>
        <w:spacing w:line="240" w:lineRule="auto"/>
        <w:jc w:val="both"/>
        <w:rPr>
          <w:rFonts w:ascii="Times New Roman" w:hAnsi="Times New Roman" w:cs="Times New Roman"/>
          <w:sz w:val="28"/>
          <w:szCs w:val="28"/>
        </w:rPr>
      </w:pPr>
      <w:r w:rsidRPr="00AC374B">
        <w:rPr>
          <w:rFonts w:ascii="Times New Roman" w:hAnsi="Times New Roman" w:cs="Times New Roman"/>
          <w:sz w:val="28"/>
          <w:szCs w:val="28"/>
        </w:rPr>
        <w:t>муниципальное образование</w:t>
      </w:r>
    </w:p>
    <w:p w:rsidR="00AC374B" w:rsidRPr="00AC374B" w:rsidRDefault="00AC374B" w:rsidP="00AC374B">
      <w:pPr>
        <w:spacing w:line="240" w:lineRule="auto"/>
        <w:jc w:val="both"/>
        <w:rPr>
          <w:rFonts w:ascii="Times New Roman" w:hAnsi="Times New Roman" w:cs="Times New Roman"/>
          <w:sz w:val="28"/>
          <w:szCs w:val="28"/>
        </w:rPr>
      </w:pPr>
      <w:r w:rsidRPr="00AC374B">
        <w:rPr>
          <w:rFonts w:ascii="Times New Roman" w:hAnsi="Times New Roman" w:cs="Times New Roman"/>
          <w:sz w:val="28"/>
          <w:szCs w:val="28"/>
        </w:rPr>
        <w:t>городской округ город Красный Луч</w:t>
      </w:r>
    </w:p>
    <w:p w:rsidR="00BE2087" w:rsidRDefault="00AC374B" w:rsidP="00AC374B">
      <w:pPr>
        <w:spacing w:line="240" w:lineRule="auto"/>
        <w:jc w:val="both"/>
        <w:rPr>
          <w:rFonts w:ascii="Times New Roman" w:hAnsi="Times New Roman" w:cs="Times New Roman"/>
          <w:sz w:val="28"/>
          <w:szCs w:val="28"/>
        </w:rPr>
      </w:pPr>
      <w:r w:rsidRPr="00AC374B">
        <w:rPr>
          <w:rFonts w:ascii="Times New Roman" w:hAnsi="Times New Roman" w:cs="Times New Roman"/>
          <w:sz w:val="28"/>
          <w:szCs w:val="28"/>
        </w:rPr>
        <w:t xml:space="preserve">Луганской Народной Республики </w:t>
      </w:r>
      <w:r>
        <w:rPr>
          <w:rFonts w:ascii="Times New Roman" w:hAnsi="Times New Roman" w:cs="Times New Roman"/>
          <w:sz w:val="28"/>
          <w:szCs w:val="28"/>
        </w:rPr>
        <w:t xml:space="preserve">                                                  С.В. Соловьев</w:t>
      </w:r>
    </w:p>
    <w:p w:rsidR="00BE2087" w:rsidRPr="00BE2087" w:rsidRDefault="00BE2087" w:rsidP="00BE2087">
      <w:pPr>
        <w:rPr>
          <w:rFonts w:ascii="Times New Roman" w:hAnsi="Times New Roman" w:cs="Times New Roman"/>
          <w:sz w:val="28"/>
          <w:szCs w:val="28"/>
        </w:rPr>
      </w:pPr>
    </w:p>
    <w:p w:rsidR="00BE2087" w:rsidRDefault="00BE2087" w:rsidP="00BE2087">
      <w:pPr>
        <w:rPr>
          <w:rFonts w:ascii="Times New Roman" w:hAnsi="Times New Roman" w:cs="Times New Roman"/>
          <w:sz w:val="28"/>
          <w:szCs w:val="28"/>
        </w:rPr>
      </w:pPr>
    </w:p>
    <w:p w:rsidR="00B361E6" w:rsidRDefault="00B361E6" w:rsidP="00BE2087">
      <w:pPr>
        <w:jc w:val="left"/>
        <w:rPr>
          <w:rFonts w:ascii="Times New Roman" w:hAnsi="Times New Roman" w:cs="Times New Roman"/>
          <w:sz w:val="28"/>
          <w:szCs w:val="28"/>
        </w:rPr>
      </w:pPr>
    </w:p>
    <w:tbl>
      <w:tblPr>
        <w:tblStyle w:val="a5"/>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BE2087" w:rsidTr="00D263DF">
        <w:tc>
          <w:tcPr>
            <w:tcW w:w="4678" w:type="dxa"/>
          </w:tcPr>
          <w:p w:rsidR="006E065B" w:rsidRDefault="006E065B" w:rsidP="00D263DF">
            <w:pPr>
              <w:rPr>
                <w:rFonts w:ascii="Times New Roman" w:hAnsi="Times New Roman" w:cs="Times New Roman"/>
                <w:sz w:val="28"/>
                <w:szCs w:val="28"/>
              </w:rPr>
            </w:pPr>
          </w:p>
          <w:p w:rsidR="00BE2087" w:rsidRDefault="00BE2087" w:rsidP="00D263DF">
            <w:pP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E2087" w:rsidRDefault="00BE2087" w:rsidP="00D263DF">
            <w:pP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E2087" w:rsidRDefault="00BE2087" w:rsidP="00D263DF">
            <w:pPr>
              <w:rPr>
                <w:rFonts w:ascii="Times New Roman" w:hAnsi="Times New Roman" w:cs="Times New Roman"/>
                <w:sz w:val="28"/>
                <w:szCs w:val="28"/>
              </w:rPr>
            </w:pPr>
            <w:r>
              <w:rPr>
                <w:rFonts w:ascii="Times New Roman" w:hAnsi="Times New Roman" w:cs="Times New Roman"/>
                <w:sz w:val="28"/>
                <w:szCs w:val="28"/>
              </w:rPr>
              <w:t>городского округа</w:t>
            </w:r>
          </w:p>
          <w:p w:rsidR="00BE2087" w:rsidRDefault="00BE2087" w:rsidP="00D263DF">
            <w:pP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BE2087" w:rsidRDefault="00BE2087" w:rsidP="00D263DF">
            <w:pPr>
              <w:jc w:val="center"/>
              <w:rPr>
                <w:rFonts w:ascii="Times New Roman" w:hAnsi="Times New Roman" w:cs="Times New Roman"/>
                <w:sz w:val="28"/>
                <w:szCs w:val="28"/>
              </w:rPr>
            </w:pPr>
            <w:r>
              <w:rPr>
                <w:rFonts w:ascii="Times New Roman" w:hAnsi="Times New Roman" w:cs="Times New Roman"/>
                <w:sz w:val="28"/>
                <w:szCs w:val="28"/>
              </w:rPr>
              <w:t>городской округ город Красный Луч</w:t>
            </w:r>
          </w:p>
          <w:p w:rsidR="00BE2087" w:rsidRDefault="00BE2087" w:rsidP="00D263DF">
            <w:pPr>
              <w:rPr>
                <w:rFonts w:ascii="Times New Roman" w:hAnsi="Times New Roman" w:cs="Times New Roman"/>
                <w:sz w:val="28"/>
                <w:szCs w:val="28"/>
              </w:rPr>
            </w:pPr>
            <w:r>
              <w:rPr>
                <w:rFonts w:ascii="Times New Roman" w:hAnsi="Times New Roman" w:cs="Times New Roman"/>
                <w:sz w:val="28"/>
                <w:szCs w:val="28"/>
              </w:rPr>
              <w:t>Луганской Народной Республики</w:t>
            </w:r>
          </w:p>
          <w:p w:rsidR="00BE2087" w:rsidRDefault="00BE2087" w:rsidP="00D263DF">
            <w:pPr>
              <w:rPr>
                <w:rFonts w:ascii="Times New Roman" w:hAnsi="Times New Roman" w:cs="Times New Roman"/>
                <w:sz w:val="28"/>
                <w:szCs w:val="28"/>
              </w:rPr>
            </w:pPr>
            <w:r>
              <w:rPr>
                <w:rFonts w:ascii="Times New Roman" w:hAnsi="Times New Roman" w:cs="Times New Roman"/>
                <w:sz w:val="28"/>
                <w:szCs w:val="28"/>
              </w:rPr>
              <w:t>«</w:t>
            </w:r>
            <w:r w:rsidR="001B0AA6">
              <w:rPr>
                <w:rFonts w:ascii="Times New Roman" w:hAnsi="Times New Roman" w:cs="Times New Roman"/>
                <w:sz w:val="28"/>
                <w:szCs w:val="28"/>
              </w:rPr>
              <w:t>22</w:t>
            </w:r>
            <w:r>
              <w:rPr>
                <w:rFonts w:ascii="Times New Roman" w:hAnsi="Times New Roman" w:cs="Times New Roman"/>
                <w:sz w:val="28"/>
                <w:szCs w:val="28"/>
              </w:rPr>
              <w:t xml:space="preserve">» </w:t>
            </w:r>
            <w:r w:rsidR="001B0AA6">
              <w:rPr>
                <w:rFonts w:ascii="Times New Roman" w:hAnsi="Times New Roman" w:cs="Times New Roman"/>
                <w:sz w:val="28"/>
                <w:szCs w:val="28"/>
              </w:rPr>
              <w:t xml:space="preserve">деабря </w:t>
            </w:r>
            <w:r>
              <w:rPr>
                <w:rFonts w:ascii="Times New Roman" w:hAnsi="Times New Roman" w:cs="Times New Roman"/>
                <w:sz w:val="28"/>
                <w:szCs w:val="28"/>
              </w:rPr>
              <w:t>2023 №</w:t>
            </w:r>
            <w:r w:rsidR="001B0AA6">
              <w:rPr>
                <w:rFonts w:ascii="Times New Roman" w:hAnsi="Times New Roman" w:cs="Times New Roman"/>
                <w:sz w:val="28"/>
                <w:szCs w:val="28"/>
              </w:rPr>
              <w:t>12</w:t>
            </w:r>
          </w:p>
          <w:p w:rsidR="00BE2087" w:rsidRDefault="00BE2087" w:rsidP="00D263DF">
            <w:pPr>
              <w:jc w:val="right"/>
              <w:rPr>
                <w:rFonts w:ascii="Times New Roman" w:hAnsi="Times New Roman" w:cs="Times New Roman"/>
                <w:sz w:val="28"/>
                <w:szCs w:val="28"/>
              </w:rPr>
            </w:pPr>
          </w:p>
        </w:tc>
      </w:tr>
    </w:tbl>
    <w:p w:rsidR="00BE2087" w:rsidRDefault="00BE2087" w:rsidP="00BE2087">
      <w:pPr>
        <w:spacing w:line="240" w:lineRule="auto"/>
        <w:jc w:val="right"/>
        <w:rPr>
          <w:rFonts w:ascii="Times New Roman" w:hAnsi="Times New Roman" w:cs="Times New Roman"/>
          <w:sz w:val="28"/>
          <w:szCs w:val="28"/>
        </w:rPr>
      </w:pPr>
    </w:p>
    <w:p w:rsidR="00BE2087" w:rsidRDefault="00BE2087" w:rsidP="00BE2087">
      <w:pPr>
        <w:spacing w:line="240" w:lineRule="auto"/>
        <w:jc w:val="right"/>
        <w:rPr>
          <w:rFonts w:ascii="Times New Roman" w:hAnsi="Times New Roman" w:cs="Times New Roman"/>
          <w:sz w:val="28"/>
          <w:szCs w:val="28"/>
        </w:rPr>
      </w:pPr>
    </w:p>
    <w:p w:rsidR="00BE2087" w:rsidRDefault="00BE2087" w:rsidP="00BE2087">
      <w:pPr>
        <w:spacing w:line="240" w:lineRule="auto"/>
        <w:jc w:val="right"/>
        <w:rPr>
          <w:rFonts w:ascii="Times New Roman" w:hAnsi="Times New Roman" w:cs="Times New Roman"/>
          <w:sz w:val="28"/>
          <w:szCs w:val="28"/>
        </w:rPr>
      </w:pPr>
    </w:p>
    <w:p w:rsidR="00BE2087" w:rsidRDefault="00BE2087" w:rsidP="00BE2087">
      <w:pPr>
        <w:rPr>
          <w:rFonts w:ascii="Times New Roman" w:hAnsi="Times New Roman" w:cs="Times New Roman"/>
          <w:sz w:val="28"/>
          <w:szCs w:val="28"/>
        </w:rPr>
      </w:pPr>
    </w:p>
    <w:p w:rsidR="00BE2087" w:rsidRPr="00A524F4" w:rsidRDefault="00BE2087" w:rsidP="00BE2087">
      <w:pPr>
        <w:spacing w:line="240" w:lineRule="auto"/>
        <w:rPr>
          <w:rFonts w:ascii="Times New Roman" w:hAnsi="Times New Roman" w:cs="Times New Roman"/>
          <w:b/>
          <w:sz w:val="28"/>
          <w:szCs w:val="28"/>
        </w:rPr>
      </w:pPr>
      <w:r w:rsidRPr="00A524F4">
        <w:rPr>
          <w:rFonts w:ascii="Times New Roman" w:hAnsi="Times New Roman" w:cs="Times New Roman"/>
          <w:b/>
          <w:sz w:val="28"/>
          <w:szCs w:val="28"/>
        </w:rPr>
        <w:t>Показатели</w:t>
      </w:r>
    </w:p>
    <w:p w:rsidR="00BE2087" w:rsidRDefault="00BE2087" w:rsidP="00BE2087">
      <w:pPr>
        <w:spacing w:line="240" w:lineRule="auto"/>
        <w:rPr>
          <w:rFonts w:ascii="Times New Roman" w:hAnsi="Times New Roman" w:cs="Times New Roman"/>
          <w:b/>
          <w:sz w:val="28"/>
          <w:szCs w:val="28"/>
        </w:rPr>
      </w:pPr>
      <w:r w:rsidRPr="00A524F4">
        <w:rPr>
          <w:rFonts w:ascii="Times New Roman" w:hAnsi="Times New Roman" w:cs="Times New Roman"/>
          <w:b/>
          <w:sz w:val="28"/>
          <w:szCs w:val="28"/>
        </w:rPr>
        <w:t>прогноза социально-экономического развития муниципального образования городской округ город Красный Луч</w:t>
      </w:r>
    </w:p>
    <w:p w:rsidR="00BE2087" w:rsidRPr="00A524F4" w:rsidRDefault="00BE2087" w:rsidP="00BE2087">
      <w:pPr>
        <w:spacing w:line="240" w:lineRule="auto"/>
        <w:rPr>
          <w:rFonts w:ascii="Times New Roman" w:hAnsi="Times New Roman" w:cs="Times New Roman"/>
          <w:b/>
          <w:sz w:val="28"/>
          <w:szCs w:val="28"/>
        </w:rPr>
      </w:pPr>
      <w:r w:rsidRPr="00A524F4">
        <w:rPr>
          <w:rFonts w:ascii="Times New Roman" w:hAnsi="Times New Roman" w:cs="Times New Roman"/>
          <w:b/>
          <w:sz w:val="28"/>
          <w:szCs w:val="28"/>
        </w:rPr>
        <w:t>Луганской Народной Республики</w:t>
      </w:r>
      <w:r>
        <w:rPr>
          <w:rFonts w:ascii="Times New Roman" w:hAnsi="Times New Roman" w:cs="Times New Roman"/>
          <w:b/>
          <w:sz w:val="28"/>
          <w:szCs w:val="28"/>
        </w:rPr>
        <w:t xml:space="preserve"> на 2024 год</w:t>
      </w:r>
    </w:p>
    <w:p w:rsidR="00BE2087" w:rsidRDefault="00BE2087" w:rsidP="00BE2087"/>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1560"/>
        <w:gridCol w:w="1275"/>
        <w:gridCol w:w="1275"/>
        <w:gridCol w:w="1275"/>
        <w:gridCol w:w="1276"/>
      </w:tblGrid>
      <w:tr w:rsidR="00BE2087" w:rsidTr="00D263DF">
        <w:tc>
          <w:tcPr>
            <w:tcW w:w="2897" w:type="dxa"/>
          </w:tcPr>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Показатели</w:t>
            </w:r>
          </w:p>
        </w:tc>
        <w:tc>
          <w:tcPr>
            <w:tcW w:w="1560" w:type="dxa"/>
          </w:tcPr>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Единица измерения</w:t>
            </w:r>
          </w:p>
        </w:tc>
        <w:tc>
          <w:tcPr>
            <w:tcW w:w="1275" w:type="dxa"/>
          </w:tcPr>
          <w:p w:rsidR="00BE2087" w:rsidRPr="004F4F86" w:rsidRDefault="00BE2087" w:rsidP="00D263DF">
            <w:pPr>
              <w:pStyle w:val="ConsPlusNormal"/>
              <w:jc w:val="center"/>
              <w:rPr>
                <w:rFonts w:ascii="Times New Roman" w:hAnsi="Times New Roman" w:cs="Times New Roman"/>
                <w:b/>
                <w:sz w:val="24"/>
                <w:szCs w:val="24"/>
              </w:rPr>
            </w:pPr>
            <w:r>
              <w:rPr>
                <w:rFonts w:ascii="Times New Roman" w:hAnsi="Times New Roman" w:cs="Times New Roman"/>
                <w:b/>
                <w:sz w:val="24"/>
                <w:szCs w:val="24"/>
              </w:rPr>
              <w:t>2021 факт</w:t>
            </w:r>
          </w:p>
        </w:tc>
        <w:tc>
          <w:tcPr>
            <w:tcW w:w="1275" w:type="dxa"/>
          </w:tcPr>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2022 год  факт</w:t>
            </w:r>
          </w:p>
        </w:tc>
        <w:tc>
          <w:tcPr>
            <w:tcW w:w="1275" w:type="dxa"/>
          </w:tcPr>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2023 год</w:t>
            </w:r>
          </w:p>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оценка</w:t>
            </w:r>
          </w:p>
        </w:tc>
        <w:tc>
          <w:tcPr>
            <w:tcW w:w="1276" w:type="dxa"/>
          </w:tcPr>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2024 год</w:t>
            </w:r>
          </w:p>
          <w:p w:rsidR="00BE2087" w:rsidRPr="004F4F86" w:rsidRDefault="00BE2087" w:rsidP="00D263DF">
            <w:pPr>
              <w:pStyle w:val="ConsPlusNormal"/>
              <w:jc w:val="center"/>
              <w:rPr>
                <w:rFonts w:ascii="Times New Roman" w:hAnsi="Times New Roman" w:cs="Times New Roman"/>
                <w:b/>
                <w:sz w:val="24"/>
                <w:szCs w:val="24"/>
              </w:rPr>
            </w:pPr>
            <w:r w:rsidRPr="004F4F86">
              <w:rPr>
                <w:rFonts w:ascii="Times New Roman" w:hAnsi="Times New Roman" w:cs="Times New Roman"/>
                <w:b/>
                <w:sz w:val="24"/>
                <w:szCs w:val="24"/>
              </w:rPr>
              <w:t>прогноз</w:t>
            </w: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Численность населения (на начало года) - всего</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тыс. человек</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113,354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111,122</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109,390</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98,8</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98,0</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98,4</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Объем работ, выполненных собственными силами по виду экономической деятельности «Строительство»</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млн. 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55,312</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46,464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42,552</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150,4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84,0</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91,6</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Отгружено товаров собственного производства, выполнено работ и услуг собственными силами по «чистым» видам экономической деятельности</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млн. 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1589,611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1780,757</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1108,948</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в % кпредыдущему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138,6</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112,2</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62,3</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lastRenderedPageBreak/>
              <w:t>Индекс потребительских цен</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101,8</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100,6</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116,2</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98,8</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Оборот розничной торговли</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тыс. 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1281174,7</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1491256,1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1581623,7</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к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124,3</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116,4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106,1</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Оборот оптовой торговли</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тыс. 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402641,1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326562,8</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256049,8</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к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81,8</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81,1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78,4</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xml:space="preserve">Инвестиции в основной капитал </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xml:space="preserve">млн. рублей </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81,088</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163,691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64,052</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к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84,6</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201,9</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39,1</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xml:space="preserve">Среднесписочная численность работников (без внешних совместителей) по организациям, не относящихся к субъектам малого предпринимательства </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тыс. человек</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8,714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7,840</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7,870</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96,6</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89,9</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98,7</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Среднемесячная начисленная заработная плата работников (без внешних совместителей) по организациям, не относящихся к субъектам малого предпринимательства</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18414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32217</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37353,0</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p w:rsidR="006E065B" w:rsidRDefault="006E065B" w:rsidP="00D263DF">
            <w:pPr>
              <w:pStyle w:val="ConsPlusNormal"/>
              <w:rPr>
                <w:rFonts w:ascii="Times New Roman" w:hAnsi="Times New Roman" w:cs="Times New Roman"/>
                <w:color w:val="000000" w:themeColor="text1"/>
                <w:sz w:val="24"/>
                <w:szCs w:val="24"/>
              </w:rPr>
            </w:pPr>
          </w:p>
          <w:p w:rsidR="006E065B" w:rsidRDefault="006E065B" w:rsidP="00D263DF">
            <w:pPr>
              <w:pStyle w:val="ConsPlusNormal"/>
              <w:rPr>
                <w:rFonts w:ascii="Times New Roman" w:hAnsi="Times New Roman" w:cs="Times New Roman"/>
                <w:color w:val="000000" w:themeColor="text1"/>
                <w:sz w:val="24"/>
                <w:szCs w:val="24"/>
              </w:rPr>
            </w:pPr>
          </w:p>
          <w:p w:rsidR="006E065B" w:rsidRPr="00A524F4" w:rsidRDefault="006E065B" w:rsidP="00D263DF">
            <w:pPr>
              <w:pStyle w:val="ConsPlusNormal"/>
              <w:rPr>
                <w:rFonts w:ascii="Times New Roman" w:hAnsi="Times New Roman" w:cs="Times New Roman"/>
                <w:color w:val="000000" w:themeColor="text1"/>
                <w:sz w:val="24"/>
                <w:szCs w:val="24"/>
              </w:rPr>
            </w:pP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125,4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174,9</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141,1</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lastRenderedPageBreak/>
              <w:t>Задолженность по заработной плате работников, всего</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тыс. 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127381,0</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97624,9</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18490,0</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23,1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76,6</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Уровень оплаты населения услуг ЖКХ</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91,2</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90,4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101,9</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99,1</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Задолженность населения за услуги ЖКХ</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млн. рублей</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131,705</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148,017</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w:t>
            </w: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r w:rsidR="00BE2087" w:rsidRPr="00A524F4" w:rsidTr="00D263DF">
        <w:tc>
          <w:tcPr>
            <w:tcW w:w="2897"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Темп роста к предыдущему году</w:t>
            </w:r>
          </w:p>
        </w:tc>
        <w:tc>
          <w:tcPr>
            <w:tcW w:w="1560" w:type="dxa"/>
          </w:tcPr>
          <w:p w:rsidR="00BE2087" w:rsidRPr="00A524F4" w:rsidRDefault="00BE2087" w:rsidP="00D263DF">
            <w:pPr>
              <w:pStyle w:val="ConsPlusNormal"/>
              <w:jc w:val="center"/>
              <w:rPr>
                <w:rFonts w:ascii="Times New Roman" w:hAnsi="Times New Roman" w:cs="Times New Roman"/>
                <w:color w:val="000000" w:themeColor="text1"/>
                <w:sz w:val="24"/>
                <w:szCs w:val="24"/>
              </w:rPr>
            </w:pPr>
            <w:proofErr w:type="gramStart"/>
            <w:r w:rsidRPr="00A524F4">
              <w:rPr>
                <w:rFonts w:ascii="Times New Roman" w:hAnsi="Times New Roman" w:cs="Times New Roman"/>
                <w:color w:val="000000" w:themeColor="text1"/>
                <w:sz w:val="24"/>
                <w:szCs w:val="24"/>
              </w:rPr>
              <w:t>в</w:t>
            </w:r>
            <w:proofErr w:type="gramEnd"/>
            <w:r w:rsidRPr="00A524F4">
              <w:rPr>
                <w:rFonts w:ascii="Times New Roman" w:hAnsi="Times New Roman" w:cs="Times New Roman"/>
                <w:color w:val="000000" w:themeColor="text1"/>
                <w:sz w:val="24"/>
                <w:szCs w:val="24"/>
              </w:rPr>
              <w:t xml:space="preserve"> % </w:t>
            </w:r>
            <w:proofErr w:type="gramStart"/>
            <w:r w:rsidRPr="00A524F4">
              <w:rPr>
                <w:rFonts w:ascii="Times New Roman" w:hAnsi="Times New Roman" w:cs="Times New Roman"/>
                <w:color w:val="000000" w:themeColor="text1"/>
                <w:sz w:val="24"/>
                <w:szCs w:val="24"/>
              </w:rPr>
              <w:t>к</w:t>
            </w:r>
            <w:proofErr w:type="gramEnd"/>
            <w:r w:rsidRPr="00A524F4">
              <w:rPr>
                <w:rFonts w:ascii="Times New Roman" w:hAnsi="Times New Roman" w:cs="Times New Roman"/>
                <w:color w:val="000000" w:themeColor="text1"/>
                <w:sz w:val="24"/>
                <w:szCs w:val="24"/>
              </w:rPr>
              <w:t xml:space="preserve"> предыдущему году</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116,7</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112,4</w:t>
            </w:r>
          </w:p>
        </w:tc>
        <w:tc>
          <w:tcPr>
            <w:tcW w:w="1275" w:type="dxa"/>
          </w:tcPr>
          <w:p w:rsidR="00BE2087" w:rsidRPr="00A524F4" w:rsidRDefault="00BE2087" w:rsidP="00D263DF">
            <w:pPr>
              <w:pStyle w:val="ConsPlusNormal"/>
              <w:rPr>
                <w:rFonts w:ascii="Times New Roman" w:hAnsi="Times New Roman" w:cs="Times New Roman"/>
                <w:color w:val="000000" w:themeColor="text1"/>
                <w:sz w:val="24"/>
                <w:szCs w:val="24"/>
              </w:rPr>
            </w:pPr>
          </w:p>
        </w:tc>
        <w:tc>
          <w:tcPr>
            <w:tcW w:w="1276" w:type="dxa"/>
          </w:tcPr>
          <w:p w:rsidR="00BE2087" w:rsidRPr="00A524F4" w:rsidRDefault="00BE2087" w:rsidP="00D263DF">
            <w:pPr>
              <w:pStyle w:val="ConsPlusNormal"/>
              <w:rPr>
                <w:rFonts w:ascii="Times New Roman" w:hAnsi="Times New Roman" w:cs="Times New Roman"/>
                <w:color w:val="000000" w:themeColor="text1"/>
                <w:sz w:val="24"/>
                <w:szCs w:val="24"/>
              </w:rPr>
            </w:pPr>
          </w:p>
        </w:tc>
      </w:tr>
    </w:tbl>
    <w:p w:rsidR="00BE2087" w:rsidRPr="00A524F4" w:rsidRDefault="00BE2087" w:rsidP="00BE2087">
      <w:pPr>
        <w:rPr>
          <w:color w:val="000000" w:themeColor="text1"/>
        </w:rPr>
      </w:pPr>
    </w:p>
    <w:p w:rsidR="00BE2087" w:rsidRDefault="00BE2087" w:rsidP="00BE2087">
      <w:pPr>
        <w:pStyle w:val="ConsPlusNormal"/>
        <w:rPr>
          <w:rFonts w:ascii="Times New Roman" w:hAnsi="Times New Roman" w:cs="Times New Roman"/>
          <w:color w:val="000000" w:themeColor="text1"/>
          <w:sz w:val="24"/>
          <w:szCs w:val="24"/>
        </w:rPr>
      </w:pPr>
      <w:r w:rsidRPr="00A524F4">
        <w:rPr>
          <w:rFonts w:ascii="Times New Roman" w:hAnsi="Times New Roman" w:cs="Times New Roman"/>
          <w:color w:val="000000" w:themeColor="text1"/>
          <w:sz w:val="24"/>
          <w:szCs w:val="24"/>
        </w:rPr>
        <w:t>*- статистические показатели отсутствуют</w:t>
      </w:r>
    </w:p>
    <w:p w:rsidR="00BE2087" w:rsidRPr="00A524F4" w:rsidRDefault="00BE2087" w:rsidP="00BE2087">
      <w:pPr>
        <w:pStyle w:val="ConsPlusNormal"/>
        <w:rPr>
          <w:rFonts w:ascii="Times New Roman" w:hAnsi="Times New Roman" w:cs="Times New Roman"/>
          <w:color w:val="000000" w:themeColor="text1"/>
          <w:sz w:val="24"/>
          <w:szCs w:val="24"/>
        </w:rPr>
      </w:pPr>
    </w:p>
    <w:p w:rsidR="006E065B" w:rsidRDefault="006E065B" w:rsidP="00BE2087">
      <w:pPr>
        <w:jc w:val="left"/>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Pr="006E065B" w:rsidRDefault="006E065B" w:rsidP="006E065B">
      <w:pPr>
        <w:rPr>
          <w:rFonts w:ascii="Times New Roman" w:hAnsi="Times New Roman" w:cs="Times New Roman"/>
          <w:sz w:val="28"/>
          <w:szCs w:val="28"/>
        </w:rPr>
      </w:pPr>
    </w:p>
    <w:p w:rsidR="006E065B" w:rsidRDefault="006E065B" w:rsidP="006E065B">
      <w:pPr>
        <w:rPr>
          <w:rFonts w:ascii="Times New Roman" w:hAnsi="Times New Roman" w:cs="Times New Roman"/>
          <w:sz w:val="28"/>
          <w:szCs w:val="28"/>
        </w:rPr>
      </w:pPr>
    </w:p>
    <w:p w:rsidR="006E065B" w:rsidRDefault="006E065B" w:rsidP="006E065B">
      <w:pPr>
        <w:tabs>
          <w:tab w:val="left" w:pos="1464"/>
          <w:tab w:val="center" w:pos="4819"/>
        </w:tabs>
        <w:jc w:val="left"/>
        <w:rPr>
          <w:rFonts w:ascii="Times New Roman" w:hAnsi="Times New Roman" w:cs="Times New Roman"/>
          <w:sz w:val="28"/>
          <w:szCs w:val="28"/>
        </w:rPr>
      </w:pPr>
      <w:r>
        <w:rPr>
          <w:rFonts w:ascii="Times New Roman" w:hAnsi="Times New Roman" w:cs="Times New Roman"/>
          <w:sz w:val="28"/>
          <w:szCs w:val="28"/>
        </w:rPr>
        <w:tab/>
      </w:r>
    </w:p>
    <w:p w:rsidR="006E065B" w:rsidRDefault="006E065B" w:rsidP="006E065B">
      <w:pPr>
        <w:tabs>
          <w:tab w:val="left" w:pos="1464"/>
          <w:tab w:val="center" w:pos="4819"/>
        </w:tabs>
        <w:jc w:val="left"/>
        <w:rPr>
          <w:rFonts w:ascii="Times New Roman" w:hAnsi="Times New Roman" w:cs="Times New Roman"/>
          <w:sz w:val="28"/>
          <w:szCs w:val="28"/>
        </w:rPr>
      </w:pPr>
    </w:p>
    <w:p w:rsidR="006E065B" w:rsidRDefault="006E065B" w:rsidP="006E065B">
      <w:pPr>
        <w:tabs>
          <w:tab w:val="left" w:pos="1464"/>
          <w:tab w:val="center" w:pos="4819"/>
        </w:tabs>
        <w:jc w:val="left"/>
        <w:rPr>
          <w:rFonts w:ascii="Times New Roman" w:hAnsi="Times New Roman" w:cs="Times New Roman"/>
          <w:sz w:val="28"/>
          <w:szCs w:val="28"/>
        </w:rPr>
      </w:pPr>
    </w:p>
    <w:p w:rsidR="006E065B" w:rsidRDefault="006E065B" w:rsidP="006E065B">
      <w:pPr>
        <w:tabs>
          <w:tab w:val="left" w:pos="1464"/>
          <w:tab w:val="center" w:pos="4819"/>
        </w:tabs>
        <w:jc w:val="left"/>
        <w:rPr>
          <w:rFonts w:ascii="Times New Roman" w:hAnsi="Times New Roman" w:cs="Times New Roman"/>
          <w:sz w:val="28"/>
          <w:szCs w:val="28"/>
        </w:rPr>
      </w:pPr>
    </w:p>
    <w:p w:rsidR="006E065B" w:rsidRDefault="006E065B" w:rsidP="006E065B">
      <w:pPr>
        <w:tabs>
          <w:tab w:val="left" w:pos="1464"/>
          <w:tab w:val="center" w:pos="4819"/>
        </w:tabs>
        <w:jc w:val="left"/>
        <w:rPr>
          <w:rFonts w:ascii="Times New Roman" w:hAnsi="Times New Roman" w:cs="Times New Roman"/>
          <w:sz w:val="28"/>
          <w:szCs w:val="28"/>
        </w:rPr>
      </w:pPr>
    </w:p>
    <w:p w:rsidR="006E065B" w:rsidRDefault="006E065B" w:rsidP="006E065B">
      <w:pPr>
        <w:tabs>
          <w:tab w:val="left" w:pos="1464"/>
          <w:tab w:val="center" w:pos="4819"/>
        </w:tabs>
        <w:jc w:val="left"/>
        <w:rPr>
          <w:rFonts w:ascii="Times New Roman" w:hAnsi="Times New Roman" w:cs="Times New Roman"/>
          <w:sz w:val="28"/>
          <w:szCs w:val="28"/>
        </w:rPr>
      </w:pPr>
    </w:p>
    <w:tbl>
      <w:tblPr>
        <w:tblStyle w:val="a5"/>
        <w:tblW w:w="4961" w:type="dxa"/>
        <w:tblInd w:w="4786" w:type="dxa"/>
        <w:tblLook w:val="04A0"/>
      </w:tblPr>
      <w:tblGrid>
        <w:gridCol w:w="4961"/>
      </w:tblGrid>
      <w:tr w:rsidR="006E065B" w:rsidRPr="006E065B" w:rsidTr="00D263DF">
        <w:tc>
          <w:tcPr>
            <w:tcW w:w="4961" w:type="dxa"/>
            <w:tcBorders>
              <w:top w:val="nil"/>
              <w:left w:val="nil"/>
              <w:bottom w:val="nil"/>
              <w:right w:val="nil"/>
            </w:tcBorders>
          </w:tcPr>
          <w:p w:rsidR="006E065B" w:rsidRDefault="006E065B" w:rsidP="00D263DF">
            <w:pPr>
              <w:widowControl w:val="0"/>
              <w:jc w:val="both"/>
              <w:rPr>
                <w:rFonts w:ascii="Times New Roman" w:eastAsiaTheme="minorEastAsia" w:hAnsi="Times New Roman" w:cs="Times New Roman"/>
                <w:color w:val="000000" w:themeColor="text1"/>
                <w:sz w:val="28"/>
                <w:szCs w:val="28"/>
                <w:lang w:eastAsia="ru-RU"/>
              </w:rPr>
            </w:pP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lastRenderedPageBreak/>
              <w:t>Приложение 2</w:t>
            </w: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к постановлению Администрации</w:t>
            </w: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городского округа</w:t>
            </w: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муниципальное образование</w:t>
            </w: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городской округ город Красный Луч</w:t>
            </w: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Луганской Народной Республики</w:t>
            </w:r>
          </w:p>
          <w:p w:rsidR="001B0AA6" w:rsidRDefault="001B0AA6" w:rsidP="001B0AA6">
            <w:pPr>
              <w:rPr>
                <w:rFonts w:ascii="Times New Roman" w:hAnsi="Times New Roman" w:cs="Times New Roman"/>
                <w:sz w:val="28"/>
                <w:szCs w:val="28"/>
              </w:rPr>
            </w:pPr>
            <w:r>
              <w:rPr>
                <w:rFonts w:ascii="Times New Roman" w:hAnsi="Times New Roman" w:cs="Times New Roman"/>
                <w:sz w:val="28"/>
                <w:szCs w:val="28"/>
              </w:rPr>
              <w:t>«22» деабря 2023 №12</w:t>
            </w:r>
          </w:p>
          <w:p w:rsidR="006E065B" w:rsidRPr="006E065B" w:rsidRDefault="006E065B" w:rsidP="00D263DF">
            <w:pPr>
              <w:widowControl w:val="0"/>
              <w:jc w:val="both"/>
              <w:rPr>
                <w:rFonts w:ascii="Times New Roman" w:eastAsiaTheme="minorEastAsia" w:hAnsi="Times New Roman" w:cs="Times New Roman"/>
                <w:color w:val="000000" w:themeColor="text1"/>
                <w:sz w:val="28"/>
                <w:szCs w:val="28"/>
                <w:lang w:eastAsia="ru-RU"/>
              </w:rPr>
            </w:pPr>
          </w:p>
        </w:tc>
      </w:tr>
    </w:tbl>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p>
    <w:p w:rsidR="006E065B" w:rsidRPr="006E065B" w:rsidRDefault="006E065B" w:rsidP="006E065B">
      <w:pPr>
        <w:widowControl w:val="0"/>
        <w:spacing w:line="276" w:lineRule="auto"/>
        <w:ind w:firstLine="709"/>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Пояснительная записка к показателям прогноза социально-экономического развития муниципального образования городской округ город Красный Луч Луганской Народной Республики на 2024 год</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Город Красный Луч занимает выгодное географическое положение и находится на перекрестке важных транспортных магистралей. Через территорию города проходят автомагистрали Дебальцево - Новошахтинск и Луганск - Донецк</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Красный Луч расположен на юге Луганской Народной Республики, в 62 км от города Луганск и 110 км от города Донецк. Граничит с территориями Антрацитовского района, городами Донецкой Народной Республики – </w:t>
      </w:r>
      <w:proofErr w:type="gramStart"/>
      <w:r w:rsidRPr="006E065B">
        <w:rPr>
          <w:rFonts w:ascii="Times New Roman" w:eastAsiaTheme="minorEastAsia" w:hAnsi="Times New Roman" w:cs="Times New Roman"/>
          <w:color w:val="000000" w:themeColor="text1"/>
          <w:sz w:val="28"/>
          <w:szCs w:val="28"/>
          <w:lang w:eastAsia="ru-RU"/>
        </w:rPr>
        <w:t>Снежное</w:t>
      </w:r>
      <w:proofErr w:type="gramEnd"/>
      <w:r w:rsidRPr="006E065B">
        <w:rPr>
          <w:rFonts w:ascii="Times New Roman" w:eastAsiaTheme="minorEastAsia" w:hAnsi="Times New Roman" w:cs="Times New Roman"/>
          <w:color w:val="000000" w:themeColor="text1"/>
          <w:sz w:val="28"/>
          <w:szCs w:val="28"/>
          <w:lang w:eastAsia="ru-RU"/>
        </w:rPr>
        <w:t xml:space="preserve"> и Торез.</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Оценка достигнутого уровня социально-экономического развития</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Динамика основных показателей, характеризующих социально-экономическое развитие города, по ожидаемой оценке 2023 г. по отношению к предшествующему году сложится следующим образом.</w:t>
      </w:r>
    </w:p>
    <w:p w:rsidR="006E065B" w:rsidRPr="006E065B" w:rsidRDefault="006E065B" w:rsidP="006E065B">
      <w:pPr>
        <w:pStyle w:val="ConsPlusNormal"/>
        <w:spacing w:line="360" w:lineRule="auto"/>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2835"/>
      </w:tblGrid>
      <w:tr w:rsidR="006E065B" w:rsidRPr="006E065B" w:rsidTr="006E065B">
        <w:trPr>
          <w:trHeight w:val="1293"/>
        </w:trPr>
        <w:tc>
          <w:tcPr>
            <w:tcW w:w="6236" w:type="dxa"/>
            <w:tcBorders>
              <w:top w:val="single" w:sz="4" w:space="0" w:color="auto"/>
              <w:bottom w:val="single" w:sz="4" w:space="0" w:color="auto"/>
            </w:tcBorders>
          </w:tcPr>
          <w:p w:rsidR="006E065B" w:rsidRPr="006E065B" w:rsidRDefault="006E065B" w:rsidP="006E065B">
            <w:pPr>
              <w:widowControl w:val="0"/>
              <w:ind w:firstLine="709"/>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Основные показатели</w:t>
            </w:r>
          </w:p>
        </w:tc>
        <w:tc>
          <w:tcPr>
            <w:tcW w:w="2835" w:type="dxa"/>
            <w:tcBorders>
              <w:top w:val="single" w:sz="4" w:space="0" w:color="auto"/>
              <w:bottom w:val="single" w:sz="4" w:space="0" w:color="auto"/>
            </w:tcBorders>
          </w:tcPr>
          <w:p w:rsidR="006E065B" w:rsidRPr="006E065B" w:rsidRDefault="006E065B" w:rsidP="006E065B">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Оценка 2023 года</w:t>
            </w:r>
          </w:p>
          <w:p w:rsidR="006E065B" w:rsidRPr="006E065B" w:rsidRDefault="006E065B" w:rsidP="006E065B">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 % к 2022 г. в сопоставимых ценах</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Объем работ, выполненных собственными силами по виду экономической деятельности «Строительство»</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D263DF">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91,6</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Отгружено товаров собственного производства, выполнено работ и услуг собственными силами по «чистым» видам экономической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62,3</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lastRenderedPageBreak/>
              <w:t>Оборот розничной торговли</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106,1</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Оборот оптовой торговли</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78,4</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Инвестиции в основной капитал</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39,1</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Среднесписочная численность работников (без внешних совместителей) по организациям, не относящихся к субъектам малого предпринимательства</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98,7</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Среднемесячная начисленная заработная плата работников (без внешних совместителей) по организациям, не относящихся к субъектам малого предпринимательства</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141,1</w:t>
            </w:r>
          </w:p>
        </w:tc>
      </w:tr>
      <w:tr w:rsidR="006E065B" w:rsidRPr="006E065B" w:rsidTr="00D263DF">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Задолженность по заработной плате работников, всего</w:t>
            </w:r>
          </w:p>
        </w:tc>
        <w:tc>
          <w:tcPr>
            <w:tcW w:w="2835" w:type="dxa"/>
            <w:tcBorders>
              <w:top w:val="single" w:sz="4" w:space="0" w:color="auto"/>
              <w:left w:val="single" w:sz="4" w:space="0" w:color="auto"/>
              <w:bottom w:val="single" w:sz="4" w:space="0" w:color="auto"/>
              <w:right w:val="single" w:sz="4" w:space="0" w:color="auto"/>
            </w:tcBorders>
          </w:tcPr>
          <w:p w:rsidR="006E065B" w:rsidRPr="006E065B" w:rsidRDefault="006E065B" w:rsidP="00E76B21">
            <w:pPr>
              <w:widowControl w:val="0"/>
              <w:spacing w:line="240" w:lineRule="auto"/>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19,2</w:t>
            </w:r>
          </w:p>
        </w:tc>
      </w:tr>
    </w:tbl>
    <w:p w:rsidR="00E76B21" w:rsidRDefault="00E76B21" w:rsidP="00E76B21">
      <w:pPr>
        <w:pStyle w:val="ConsPlusNormal"/>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6E065B" w:rsidRPr="006E065B" w:rsidRDefault="00E76B21" w:rsidP="00E76B21">
      <w:pPr>
        <w:pStyle w:val="ConsPlusNormal"/>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065B" w:rsidRPr="006E065B">
        <w:rPr>
          <w:rFonts w:ascii="Times New Roman" w:hAnsi="Times New Roman" w:cs="Times New Roman"/>
          <w:color w:val="000000" w:themeColor="text1"/>
          <w:sz w:val="28"/>
          <w:szCs w:val="28"/>
        </w:rPr>
        <w:t>По данным Лугстата, численность населения города Красный Луч на 1 января 2023 года составляла 109390 человек. В городе сохраняется тенденция снижения численности населения, так по сравнению с 2022 годом численность населения сократилась на 2232 человека.</w:t>
      </w:r>
    </w:p>
    <w:p w:rsidR="006E065B" w:rsidRPr="006E065B" w:rsidRDefault="006E065B" w:rsidP="006E065B">
      <w:pPr>
        <w:pStyle w:val="ConsPlusNormal"/>
        <w:spacing w:line="360" w:lineRule="auto"/>
        <w:ind w:firstLine="709"/>
        <w:jc w:val="both"/>
        <w:rPr>
          <w:rFonts w:ascii="Times New Roman" w:hAnsi="Times New Roman" w:cs="Times New Roman"/>
          <w:color w:val="000000" w:themeColor="text1"/>
          <w:sz w:val="28"/>
          <w:szCs w:val="28"/>
        </w:rPr>
      </w:pPr>
      <w:r w:rsidRPr="006E065B">
        <w:rPr>
          <w:rFonts w:ascii="Times New Roman" w:hAnsi="Times New Roman" w:cs="Times New Roman"/>
          <w:color w:val="000000" w:themeColor="text1"/>
          <w:sz w:val="28"/>
          <w:szCs w:val="28"/>
        </w:rPr>
        <w:t>Оценка достигнутого уровня социально-экономического развития</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Основу промышленного комплекса города Красный Луч Луганской Народной Республики составляла угледобывающая промышленность. Однако из-за ряда факторов, как внешних, так и внутриотраслевых в городе отсутствуют государственные предприятия по добыче и переработке рядового угля. На сегодняшний день из 30 зарегистрированных субъектов хозяйствования, свою хозяйственную деятельность ведут только 5 частных углеперерабатывающих предприятия, что составляет 16,6% от общего количества зарегистрированных. Большинство частных угольных предприятий города не ведут производственную деятельность по причинам, связанным с оформлением землеустроительной документации.</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 виду того, что угольная промышленность в городе находится на грани вымирания, основные промышленные предприятия обрабатывающего производства угольной промышленности находятся в состоянии простоя или </w:t>
      </w:r>
      <w:r w:rsidRPr="006E065B">
        <w:rPr>
          <w:rFonts w:ascii="Times New Roman" w:eastAsiaTheme="minorEastAsia" w:hAnsi="Times New Roman" w:cs="Times New Roman"/>
          <w:color w:val="000000" w:themeColor="text1"/>
          <w:sz w:val="28"/>
          <w:szCs w:val="28"/>
          <w:lang w:eastAsia="ru-RU"/>
        </w:rPr>
        <w:lastRenderedPageBreak/>
        <w:t xml:space="preserve">работают на уровне низких загрузок производственных мощностей.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Наблюдается  тенденция сворачивания производственных мощностей из-за преобладания физически изношенных и морально устаревших основных производственных фондов проявляется низкая эффективность и не конкурентоспособность производства.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Машиностроительная отрасль города ориентирована на продукцию для горнодобывающей отрасли. Развитие производства возможно только  при наличии заказов предприятий, нуждающихся в продукции машиностроительной отрасли. Все предприятия машиностроительной отрасли сохранили свой производственный потенциал и готовы рассматривать все заявки на серийное производство своей продукции.</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Машиностроительная отрасль представлена предприятиями по производству машин и оборудования для добывающей промышленности и строительства и предприятиями по механической обработке металлических изделий.</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proofErr w:type="gramStart"/>
      <w:r w:rsidRPr="006E065B">
        <w:rPr>
          <w:rFonts w:ascii="Times New Roman" w:eastAsiaTheme="minorEastAsia" w:hAnsi="Times New Roman" w:cs="Times New Roman"/>
          <w:color w:val="000000" w:themeColor="text1"/>
          <w:sz w:val="28"/>
          <w:szCs w:val="28"/>
          <w:lang w:eastAsia="ru-RU"/>
        </w:rPr>
        <w:t>Предприятия по производству машин и оборудования для добывающей промышленности и строительства – это ООО «Краснолучский машиностроительный завод», ООО «Сардоникс», ООО «Вахрушевский механический завод», ООО «Краснолучский литейно-механичесий завод», ООО «Модуль», ООО «Восток-техно», ООО «Лугуглесервис».</w:t>
      </w:r>
      <w:proofErr w:type="gramEnd"/>
      <w:r w:rsidRPr="006E065B">
        <w:rPr>
          <w:rFonts w:ascii="Times New Roman" w:eastAsiaTheme="minorEastAsia" w:hAnsi="Times New Roman" w:cs="Times New Roman"/>
          <w:color w:val="000000" w:themeColor="text1"/>
          <w:sz w:val="28"/>
          <w:szCs w:val="28"/>
          <w:lang w:eastAsia="ru-RU"/>
        </w:rPr>
        <w:t xml:space="preserve"> Из 7 предприятий работают только 2, что составляет 28,6% </w:t>
      </w:r>
      <w:proofErr w:type="gramStart"/>
      <w:r w:rsidRPr="006E065B">
        <w:rPr>
          <w:rFonts w:ascii="Times New Roman" w:eastAsiaTheme="minorEastAsia" w:hAnsi="Times New Roman" w:cs="Times New Roman"/>
          <w:color w:val="000000" w:themeColor="text1"/>
          <w:sz w:val="28"/>
          <w:szCs w:val="28"/>
          <w:lang w:eastAsia="ru-RU"/>
        </w:rPr>
        <w:t>от</w:t>
      </w:r>
      <w:proofErr w:type="gramEnd"/>
      <w:r w:rsidRPr="006E065B">
        <w:rPr>
          <w:rFonts w:ascii="Times New Roman" w:eastAsiaTheme="minorEastAsia" w:hAnsi="Times New Roman" w:cs="Times New Roman"/>
          <w:color w:val="000000" w:themeColor="text1"/>
          <w:sz w:val="28"/>
          <w:szCs w:val="28"/>
          <w:lang w:eastAsia="ru-RU"/>
        </w:rPr>
        <w:t xml:space="preserve"> зарегистрированных.</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ООО «Краснолучский машиностроительный завод» - производство машин и оборудования для добывающей промышленности и строительства, ремонт и техническое обслуживание машин и оборудования промышленного назначения. Завод работает на низких производственных мощностях, выполняет заказы по заключенным договорам по изготовлению роликоопор и режущего инструмента с ГУП ЛНР «Республиканская топливная компания «Востокуголь».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ООО «Сардоникс» </w:t>
      </w:r>
      <w:proofErr w:type="gramStart"/>
      <w:r w:rsidRPr="006E065B">
        <w:rPr>
          <w:rFonts w:ascii="Times New Roman" w:eastAsiaTheme="minorEastAsia" w:hAnsi="Times New Roman" w:cs="Times New Roman"/>
          <w:color w:val="000000" w:themeColor="text1"/>
          <w:sz w:val="28"/>
          <w:szCs w:val="28"/>
          <w:lang w:eastAsia="ru-RU"/>
        </w:rPr>
        <w:t>-п</w:t>
      </w:r>
      <w:proofErr w:type="gramEnd"/>
      <w:r w:rsidRPr="006E065B">
        <w:rPr>
          <w:rFonts w:ascii="Times New Roman" w:eastAsiaTheme="minorEastAsia" w:hAnsi="Times New Roman" w:cs="Times New Roman"/>
          <w:color w:val="000000" w:themeColor="text1"/>
          <w:sz w:val="28"/>
          <w:szCs w:val="28"/>
          <w:lang w:eastAsia="ru-RU"/>
        </w:rPr>
        <w:t xml:space="preserve">роизводство машин и оборудования для добывающей промышленности и строительства (ремонт и выпуск водонасосов). Предприятие работает на малых производственных мощностях, основным </w:t>
      </w:r>
      <w:r w:rsidRPr="006E065B">
        <w:rPr>
          <w:rFonts w:ascii="Times New Roman" w:eastAsiaTheme="minorEastAsia" w:hAnsi="Times New Roman" w:cs="Times New Roman"/>
          <w:color w:val="000000" w:themeColor="text1"/>
          <w:sz w:val="28"/>
          <w:szCs w:val="28"/>
          <w:lang w:eastAsia="ru-RU"/>
        </w:rPr>
        <w:lastRenderedPageBreak/>
        <w:t>заказчиком в настоящее время является ГУП ЛНР «Республиканская топливная компания «Востокуголь» и ЦОФ «Нагольчанская».</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Предприятия по механической обработке металлических изделий – это ООО «Шахтреммаш», ООО «</w:t>
      </w:r>
      <w:proofErr w:type="gramStart"/>
      <w:r w:rsidRPr="006E065B">
        <w:rPr>
          <w:rFonts w:ascii="Times New Roman" w:eastAsiaTheme="minorEastAsia" w:hAnsi="Times New Roman" w:cs="Times New Roman"/>
          <w:color w:val="000000" w:themeColor="text1"/>
          <w:sz w:val="28"/>
          <w:szCs w:val="28"/>
          <w:lang w:eastAsia="ru-RU"/>
        </w:rPr>
        <w:t>Виват-бизнес</w:t>
      </w:r>
      <w:proofErr w:type="gramEnd"/>
      <w:r w:rsidRPr="006E065B">
        <w:rPr>
          <w:rFonts w:ascii="Times New Roman" w:eastAsiaTheme="minorEastAsia" w:hAnsi="Times New Roman" w:cs="Times New Roman"/>
          <w:color w:val="000000" w:themeColor="text1"/>
          <w:sz w:val="28"/>
          <w:szCs w:val="28"/>
          <w:lang w:eastAsia="ru-RU"/>
        </w:rPr>
        <w:t xml:space="preserve"> ЛТД». ООО «Шахтремаш» - производством не занимается, сдает свои производственные мощности ООО «Лугасталь», ООО «Виват-бизнес ЛТД</w:t>
      </w:r>
      <w:proofErr w:type="gramStart"/>
      <w:r w:rsidRPr="006E065B">
        <w:rPr>
          <w:rFonts w:ascii="Times New Roman" w:eastAsiaTheme="minorEastAsia" w:hAnsi="Times New Roman" w:cs="Times New Roman"/>
          <w:color w:val="000000" w:themeColor="text1"/>
          <w:sz w:val="28"/>
          <w:szCs w:val="28"/>
          <w:lang w:eastAsia="ru-RU"/>
        </w:rPr>
        <w:t>»р</w:t>
      </w:r>
      <w:proofErr w:type="gramEnd"/>
      <w:r w:rsidRPr="006E065B">
        <w:rPr>
          <w:rFonts w:ascii="Times New Roman" w:eastAsiaTheme="minorEastAsia" w:hAnsi="Times New Roman" w:cs="Times New Roman"/>
          <w:color w:val="000000" w:themeColor="text1"/>
          <w:sz w:val="28"/>
          <w:szCs w:val="28"/>
          <w:lang w:eastAsia="ru-RU"/>
        </w:rPr>
        <w:t>аботает на малых производственных мощностях, выполняет разовые, индивидуальные заказы по изготовлению различных деталей и запчастей, заказы от Луганского машиностроительного завода.</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Перерабатывающая  промышленность представлена в основном пищевой отраслью: производство хлеба и хлебобулочных изделий, питьевой водой. В сфере пищевой промышленности работает 2 предприятия и 4 ИП.</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По производству хлебобулочных изделий работают: ООО «Хлебушек +», ИП Визиров М.Д., ИП Иосипенко А.А., ИП Гондарь М.Г.</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Производством разливной и бутылированой  питьевой воды занимаетсяООО «КристалАйс» (ИП Момотов).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По производству макаронных изделий, круп и масла растительного работает ООО «Благ-Агро».</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Ожидаемый объем реализованной продукции пищевой промышленности за 2023 год составит более 82,0 млн. руб., по сравнению с прошлым годом наблюдается снижение на 2,4%.</w:t>
      </w:r>
    </w:p>
    <w:p w:rsidR="006E065B" w:rsidRPr="006E065B" w:rsidRDefault="006E065B" w:rsidP="006E065B">
      <w:pPr>
        <w:pStyle w:val="50"/>
        <w:widowControl w:val="0"/>
        <w:shd w:val="clear" w:color="auto" w:fill="auto"/>
        <w:spacing w:line="360" w:lineRule="auto"/>
        <w:ind w:firstLine="709"/>
        <w:jc w:val="both"/>
        <w:rPr>
          <w:rFonts w:ascii="Times New Roman" w:eastAsiaTheme="minorEastAsia" w:hAnsi="Times New Roman" w:cs="Times New Roman"/>
          <w:color w:val="000000" w:themeColor="text1"/>
          <w:sz w:val="28"/>
          <w:szCs w:val="28"/>
          <w:lang w:eastAsia="ru-RU"/>
        </w:rPr>
      </w:pPr>
      <w:r w:rsidRPr="00E76B21">
        <w:rPr>
          <w:rFonts w:ascii="Times New Roman" w:eastAsiaTheme="minorEastAsia" w:hAnsi="Times New Roman" w:cs="Times New Roman"/>
          <w:color w:val="000000" w:themeColor="text1"/>
          <w:sz w:val="28"/>
          <w:szCs w:val="28"/>
          <w:lang w:eastAsia="ru-RU"/>
        </w:rPr>
        <w:t>Химическую промышленность города представляет Химическое казенное объединение имени Г.И. Петровского. С июля 2014 года предприятие приостановило производство промышленных взрывчатых веществ</w:t>
      </w:r>
      <w:r w:rsidRPr="006E065B">
        <w:rPr>
          <w:rFonts w:ascii="Times New Roman" w:eastAsiaTheme="minorEastAsia" w:hAnsi="Times New Roman" w:cs="Times New Roman"/>
          <w:color w:val="000000" w:themeColor="text1"/>
          <w:sz w:val="28"/>
          <w:szCs w:val="28"/>
          <w:lang w:eastAsia="ru-RU"/>
        </w:rPr>
        <w:t>. Сегодня предприятие проводит мероприятия по сохранению предприятия и своих производственных мощностей, но из-за отсутствия хозяйственной деятельности наращивает только долги по заработной плате, по оплате за электроэнергию и по налогам.</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Из-за сложившейся ситуации в сфере производствав 2023</w:t>
      </w:r>
      <w:r w:rsidR="00E76B21">
        <w:rPr>
          <w:rFonts w:ascii="Times New Roman" w:eastAsiaTheme="minorEastAsia" w:hAnsi="Times New Roman" w:cs="Times New Roman"/>
          <w:color w:val="000000" w:themeColor="text1"/>
          <w:sz w:val="28"/>
          <w:szCs w:val="28"/>
          <w:lang w:eastAsia="ru-RU"/>
        </w:rPr>
        <w:t xml:space="preserve"> </w:t>
      </w:r>
      <w:r w:rsidRPr="006E065B">
        <w:rPr>
          <w:rFonts w:ascii="Times New Roman" w:eastAsiaTheme="minorEastAsia" w:hAnsi="Times New Roman" w:cs="Times New Roman"/>
          <w:color w:val="000000" w:themeColor="text1"/>
          <w:sz w:val="28"/>
          <w:szCs w:val="28"/>
          <w:lang w:eastAsia="ru-RU"/>
        </w:rPr>
        <w:t>году</w:t>
      </w:r>
      <w:r w:rsidR="00E76B21">
        <w:rPr>
          <w:rFonts w:ascii="Times New Roman" w:eastAsiaTheme="minorEastAsia" w:hAnsi="Times New Roman" w:cs="Times New Roman"/>
          <w:color w:val="000000" w:themeColor="text1"/>
          <w:sz w:val="28"/>
          <w:szCs w:val="28"/>
          <w:lang w:eastAsia="ru-RU"/>
        </w:rPr>
        <w:t xml:space="preserve"> </w:t>
      </w:r>
      <w:r w:rsidRPr="006E065B">
        <w:rPr>
          <w:rFonts w:ascii="Times New Roman" w:eastAsiaTheme="minorEastAsia" w:hAnsi="Times New Roman" w:cs="Times New Roman"/>
          <w:color w:val="000000" w:themeColor="text1"/>
          <w:sz w:val="28"/>
          <w:szCs w:val="28"/>
          <w:lang w:eastAsia="ru-RU"/>
        </w:rPr>
        <w:t xml:space="preserve">наблюдается тенденция снижения объемов отгрузки товаров собственного производства, работ и услуг собственными силами по видам экономической </w:t>
      </w:r>
      <w:r w:rsidRPr="006E065B">
        <w:rPr>
          <w:rFonts w:ascii="Times New Roman" w:eastAsiaTheme="minorEastAsia" w:hAnsi="Times New Roman" w:cs="Times New Roman"/>
          <w:color w:val="000000" w:themeColor="text1"/>
          <w:sz w:val="28"/>
          <w:szCs w:val="28"/>
          <w:lang w:eastAsia="ru-RU"/>
        </w:rPr>
        <w:lastRenderedPageBreak/>
        <w:t>деятельности.  По сравнению с 2022 годом объемы производства снизились на 37,7%, по итогам 2023 года они составили 1108,948 млн. руб.</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Кроме того город характеризуется слабой инвестиционной привлекательностью.</w:t>
      </w:r>
    </w:p>
    <w:p w:rsidR="006E065B" w:rsidRPr="006E065B" w:rsidRDefault="006E065B" w:rsidP="006E065B">
      <w:pPr>
        <w:widowControl w:val="0"/>
        <w:ind w:right="-284"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Транспортная и дорожная </w:t>
      </w:r>
      <w:proofErr w:type="gramStart"/>
      <w:r w:rsidRPr="006E065B">
        <w:rPr>
          <w:rFonts w:ascii="Times New Roman" w:eastAsiaTheme="minorEastAsia" w:hAnsi="Times New Roman" w:cs="Times New Roman"/>
          <w:color w:val="000000" w:themeColor="text1"/>
          <w:sz w:val="28"/>
          <w:szCs w:val="28"/>
          <w:lang w:eastAsia="ru-RU"/>
        </w:rPr>
        <w:t>инфраструктура–важная</w:t>
      </w:r>
      <w:proofErr w:type="gramEnd"/>
      <w:r w:rsidRPr="006E065B">
        <w:rPr>
          <w:rFonts w:ascii="Times New Roman" w:eastAsiaTheme="minorEastAsia" w:hAnsi="Times New Roman" w:cs="Times New Roman"/>
          <w:color w:val="000000" w:themeColor="text1"/>
          <w:sz w:val="28"/>
          <w:szCs w:val="28"/>
          <w:lang w:eastAsia="ru-RU"/>
        </w:rPr>
        <w:t xml:space="preserve"> составная часть экономики, а также играет значительную роль в решении социально-экономических проблем. Обеспеченность территории хорошо развитой транспортной системой служит одним из факторов привлечения населения и производства. За 2023 год шефом-региономотремонтировано дорог протяженностью </w:t>
      </w:r>
      <w:smartTag w:uri="urn:schemas-microsoft-com:office:smarttags" w:element="metricconverter">
        <w:smartTagPr>
          <w:attr w:name="ProductID" w:val="25,734 км"/>
        </w:smartTagPr>
        <w:r w:rsidRPr="006E065B">
          <w:rPr>
            <w:rFonts w:ascii="Times New Roman" w:eastAsiaTheme="minorEastAsia" w:hAnsi="Times New Roman" w:cs="Times New Roman"/>
            <w:color w:val="000000" w:themeColor="text1"/>
            <w:sz w:val="28"/>
            <w:szCs w:val="28"/>
            <w:lang w:eastAsia="ru-RU"/>
          </w:rPr>
          <w:t>25,734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 городе Красный Луч разработана сеть городских, пригородных и междугородних маршрутов: 20 городских маршрутов, 14 пригородных.</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Перевозку пассажиров выполняют ОДО «АТП 10911», ООО</w:t>
      </w:r>
      <w:proofErr w:type="gramStart"/>
      <w:r w:rsidRPr="006E065B">
        <w:rPr>
          <w:rFonts w:ascii="Times New Roman" w:eastAsiaTheme="minorEastAsia" w:hAnsi="Times New Roman" w:cs="Times New Roman"/>
          <w:color w:val="000000" w:themeColor="text1"/>
          <w:sz w:val="28"/>
          <w:szCs w:val="28"/>
          <w:lang w:eastAsia="ru-RU"/>
        </w:rPr>
        <w:t>«К</w:t>
      </w:r>
      <w:proofErr w:type="gramEnd"/>
      <w:r w:rsidRPr="006E065B">
        <w:rPr>
          <w:rFonts w:ascii="Times New Roman" w:eastAsiaTheme="minorEastAsia" w:hAnsi="Times New Roman" w:cs="Times New Roman"/>
          <w:color w:val="000000" w:themeColor="text1"/>
          <w:sz w:val="28"/>
          <w:szCs w:val="28"/>
          <w:lang w:eastAsia="ru-RU"/>
        </w:rPr>
        <w:t xml:space="preserve">омфорт– Авто» и 5 частных перевозчиков.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Общая протяженность городских маршрутов составляет 125,8 км. Сеть маршрутов обслуживает 61 единица подвижного состава, из них 47 – основного и 14 подменного транспорта. Перевозка пассажиров в основном осуществляется автотранспортом средней пассажировместимости марки ПАЗ и малой пассажировместимости марки РУТА и ГАЗ.</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 2023 году ожидаемый объем строительных работ составит 42,6 млн. руб., снижение по сравнению с 2022 годом составит 3,912 млн. руб. или 91,6% от объемов 2022 года.</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На территории города в отрасли строительства зарегистрировано 7 субъектов хозяйствования, из них 1 муниципальное предприятие «ДЭРСУ» и 6 ИП.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Наблюдается снижение объемов капитальных инвестиций по городу. В 2023 году инвестиции  в основной капитал по территории составят64,1млн. руб., что в 2,6 раз или на 99,6 млн. руб. меньше, по сравнению с 2022 годом. </w:t>
      </w:r>
    </w:p>
    <w:p w:rsidR="00E76B21" w:rsidRDefault="00E76B21" w:rsidP="006E065B">
      <w:pPr>
        <w:widowControl w:val="0"/>
        <w:ind w:firstLine="709"/>
        <w:rPr>
          <w:rFonts w:ascii="Times New Roman" w:eastAsiaTheme="minorEastAsia" w:hAnsi="Times New Roman" w:cs="Times New Roman"/>
          <w:color w:val="000000" w:themeColor="text1"/>
          <w:sz w:val="28"/>
          <w:szCs w:val="28"/>
          <w:lang w:eastAsia="ru-RU"/>
        </w:rPr>
      </w:pPr>
    </w:p>
    <w:p w:rsidR="00E76B21" w:rsidRDefault="00E76B21" w:rsidP="006E065B">
      <w:pPr>
        <w:widowControl w:val="0"/>
        <w:ind w:firstLine="709"/>
        <w:rPr>
          <w:rFonts w:ascii="Times New Roman" w:eastAsiaTheme="minorEastAsia" w:hAnsi="Times New Roman" w:cs="Times New Roman"/>
          <w:color w:val="000000" w:themeColor="text1"/>
          <w:sz w:val="28"/>
          <w:szCs w:val="28"/>
          <w:lang w:eastAsia="ru-RU"/>
        </w:rPr>
      </w:pPr>
    </w:p>
    <w:p w:rsidR="00E76B21" w:rsidRDefault="00E76B21" w:rsidP="006E065B">
      <w:pPr>
        <w:widowControl w:val="0"/>
        <w:ind w:firstLine="709"/>
        <w:rPr>
          <w:rFonts w:ascii="Times New Roman" w:eastAsiaTheme="minorEastAsia" w:hAnsi="Times New Roman" w:cs="Times New Roman"/>
          <w:color w:val="000000" w:themeColor="text1"/>
          <w:sz w:val="28"/>
          <w:szCs w:val="28"/>
          <w:lang w:eastAsia="ru-RU"/>
        </w:rPr>
      </w:pPr>
    </w:p>
    <w:p w:rsidR="006E065B" w:rsidRPr="006E065B" w:rsidRDefault="006E065B" w:rsidP="006E065B">
      <w:pPr>
        <w:widowControl w:val="0"/>
        <w:ind w:firstLine="709"/>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lastRenderedPageBreak/>
        <w:t>Рынок труда и занятость</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Ситуация в городе по трудоустройству населения катастрофическая. Систематически сокращается количество рабочих мест, прежде всего в сфере производства. Ожидаемая среднесписочная численность штатных работников предприятий, учреждений и организаций в 2023 году составит  7870 человек, что на 30 человек больше по сравнению с 2022 годом и на 844 человека по сравнению с 2021 годом.</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Вместе с тем, на рынке труда сохраняется устойчивый дефицит кадров. В сфере образования существует дисбаланс между спросом и предложением квалифицированных сотрудников. В сфере здравоохранения аналогичная ситуация.</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Квалифицированных специалистов на заявленные вакансии подобрать очень сложно, т.к. претенденты на занимаемую должность не соответствуют требованиям работодателей, которые предъявляются к уровню профессиональной подготовки.</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Средняя заработная плата штатных работников за 2023 год составит 37353,0 рублей. Темп роста к предыдущему году составил 141,1%, а по сравнению с 2021 годом уровень средней заработной платы вырос в 2 раза. За аналогичный период 2021 года средняя заработная плата составляла 18414 руб.</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Положительная тенденция наблюдается по снижению задолженности по заработной плате. За 2023 год она составляет 18,5 млн. руб., что на 79,1 млн. руб. ниже по сравнению с 2022 годом и на 108,9 млн. руб. ниже по сравнению с 2021 годом.</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По состоянию на 01.12.2023 в территориальном отделении центра занятости состоят на регистрационном учете в целях поиска подходящей работы   человек. С начала года за содействием в поиске работы обратилось 744 человека, трудоустроено на постоянное место работы 658 человек.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За отчетный период в территориальном отделении зарегистрировано 149 работодателей, от которых поступило 1391 вакансия, актуальными остаются 396 вакансий. </w:t>
      </w:r>
    </w:p>
    <w:p w:rsidR="00E76B21" w:rsidRDefault="00E76B21" w:rsidP="006E065B">
      <w:pPr>
        <w:widowControl w:val="0"/>
        <w:ind w:firstLine="709"/>
        <w:rPr>
          <w:rFonts w:ascii="Times New Roman" w:eastAsiaTheme="minorEastAsia" w:hAnsi="Times New Roman" w:cs="Times New Roman"/>
          <w:color w:val="000000" w:themeColor="text1"/>
          <w:sz w:val="28"/>
          <w:szCs w:val="28"/>
          <w:lang w:eastAsia="ru-RU"/>
        </w:rPr>
      </w:pPr>
    </w:p>
    <w:p w:rsidR="006E065B" w:rsidRPr="006E065B" w:rsidRDefault="006E065B" w:rsidP="006E065B">
      <w:pPr>
        <w:widowControl w:val="0"/>
        <w:ind w:firstLine="709"/>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lastRenderedPageBreak/>
        <w:t>Малое и среднее предпринимательство</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 основном представлено в таких сферах экономики как розничная торговля, сфера сервиса и бытовых услуг, строительство, транспортные услуги. Недостаточное развитие малого бизнеса отмечается в сфере производства.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На начало 2023 года количество зарегистрированных ИП более 3 тысяч.</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Рынок товаров и услуг представлен сетью розничной торговли, их количество </w:t>
      </w:r>
      <w:proofErr w:type="gramStart"/>
      <w:r w:rsidRPr="006E065B">
        <w:rPr>
          <w:rFonts w:ascii="Times New Roman" w:eastAsiaTheme="minorEastAsia" w:hAnsi="Times New Roman" w:cs="Times New Roman"/>
          <w:color w:val="000000" w:themeColor="text1"/>
          <w:sz w:val="28"/>
          <w:szCs w:val="28"/>
          <w:lang w:eastAsia="ru-RU"/>
        </w:rPr>
        <w:t>на конец</w:t>
      </w:r>
      <w:proofErr w:type="gramEnd"/>
      <w:r w:rsidRPr="006E065B">
        <w:rPr>
          <w:rFonts w:ascii="Times New Roman" w:eastAsiaTheme="minorEastAsia" w:hAnsi="Times New Roman" w:cs="Times New Roman"/>
          <w:color w:val="000000" w:themeColor="text1"/>
          <w:sz w:val="28"/>
          <w:szCs w:val="28"/>
          <w:lang w:eastAsia="ru-RU"/>
        </w:rPr>
        <w:t xml:space="preserve"> 2023 года составит 784 объектов торговли, в том числе 488 объектов специализированной розничной торговой сети.</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 сфере общественного питания на территории города работают 69 объектов. В городе функционируют 180 объектов в сфере бытового обслуживания, которые предоставляют парикмахерские и косметологические услуги, услуги по ремонту и пошиву одежды, обуви, услуги по ремонту транспортных средств. Кроме традиционных услуг субъекты хозяйствования оказывают нефинансовые услуги (аренда недвижимого имущества, услуги грузового автомобильного транспорта, организация захоронения и др.).</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Наблюдается положительная динамика увеличения объемов розничного товарооборота. Так, за 2023 год ожидается достигнуть объемы розничного товарооборота на уровне 1581,6 млн</w:t>
      </w:r>
      <w:proofErr w:type="gramStart"/>
      <w:r w:rsidRPr="006E065B">
        <w:rPr>
          <w:rFonts w:ascii="Times New Roman" w:eastAsiaTheme="minorEastAsia" w:hAnsi="Times New Roman" w:cs="Times New Roman"/>
          <w:color w:val="000000" w:themeColor="text1"/>
          <w:sz w:val="28"/>
          <w:szCs w:val="28"/>
          <w:lang w:eastAsia="ru-RU"/>
        </w:rPr>
        <w:t>.р</w:t>
      </w:r>
      <w:proofErr w:type="gramEnd"/>
      <w:r w:rsidRPr="006E065B">
        <w:rPr>
          <w:rFonts w:ascii="Times New Roman" w:eastAsiaTheme="minorEastAsia" w:hAnsi="Times New Roman" w:cs="Times New Roman"/>
          <w:color w:val="000000" w:themeColor="text1"/>
          <w:sz w:val="28"/>
          <w:szCs w:val="28"/>
          <w:lang w:eastAsia="ru-RU"/>
        </w:rPr>
        <w:t>уб., что на 90,4 млн. руб. больше, по сравнению с 2022 годом (1491,3 млн.руб.). Темп роста розничного товарооборота за 2023 год к прошлому году  составит106,1%.</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На фоне роста розничного товарооборота растет товарооборот на душу населения. Так, в 2023 году по сравнению с 2022 годом ожидаемый рост составит 7,7% (с 13419,0 руб./чел. до 14458,0 руб./чел).</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За 2023 год </w:t>
      </w:r>
      <w:proofErr w:type="gramStart"/>
      <w:r w:rsidRPr="006E065B">
        <w:rPr>
          <w:rFonts w:ascii="Times New Roman" w:eastAsiaTheme="minorEastAsia" w:hAnsi="Times New Roman" w:cs="Times New Roman"/>
          <w:color w:val="000000" w:themeColor="text1"/>
          <w:sz w:val="28"/>
          <w:szCs w:val="28"/>
          <w:lang w:eastAsia="ru-RU"/>
        </w:rPr>
        <w:t>ожидается достигнуть объемы</w:t>
      </w:r>
      <w:proofErr w:type="gramEnd"/>
      <w:r w:rsidRPr="006E065B">
        <w:rPr>
          <w:rFonts w:ascii="Times New Roman" w:eastAsiaTheme="minorEastAsia" w:hAnsi="Times New Roman" w:cs="Times New Roman"/>
          <w:color w:val="000000" w:themeColor="text1"/>
          <w:sz w:val="28"/>
          <w:szCs w:val="28"/>
          <w:lang w:eastAsia="ru-RU"/>
        </w:rPr>
        <w:t xml:space="preserve"> оптового товарооборота на уровне 256,0 млн. руб.</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Система образования города Красный Луч включает в себя:</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20 дошкольных образовательных организаций (учреждений);</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26 общеобразовательных организаций, из них 6 учебно-воспитательных комплексов, 1- гимназия;</w:t>
      </w:r>
    </w:p>
    <w:p w:rsidR="000F6D1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proofErr w:type="gramStart"/>
      <w:r w:rsidRPr="006E065B">
        <w:rPr>
          <w:rFonts w:ascii="Times New Roman" w:eastAsiaTheme="minorEastAsia" w:hAnsi="Times New Roman" w:cs="Times New Roman"/>
          <w:color w:val="000000" w:themeColor="text1"/>
          <w:sz w:val="28"/>
          <w:szCs w:val="28"/>
          <w:lang w:eastAsia="ru-RU"/>
        </w:rPr>
        <w:t xml:space="preserve">– 4 учреждения дополнительного образования (Дом Творчества </w:t>
      </w:r>
      <w:proofErr w:type="gramEnd"/>
    </w:p>
    <w:p w:rsidR="000F6D1B" w:rsidRDefault="000F6D1B" w:rsidP="006E065B">
      <w:pPr>
        <w:widowControl w:val="0"/>
        <w:ind w:firstLine="709"/>
        <w:jc w:val="both"/>
        <w:rPr>
          <w:rFonts w:ascii="Times New Roman" w:eastAsiaTheme="minorEastAsia" w:hAnsi="Times New Roman" w:cs="Times New Roman"/>
          <w:color w:val="000000" w:themeColor="text1"/>
          <w:sz w:val="28"/>
          <w:szCs w:val="28"/>
          <w:lang w:eastAsia="ru-RU"/>
        </w:rPr>
      </w:pP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lastRenderedPageBreak/>
        <w:t>г. </w:t>
      </w:r>
      <w:proofErr w:type="gramStart"/>
      <w:r w:rsidRPr="006E065B">
        <w:rPr>
          <w:rFonts w:ascii="Times New Roman" w:eastAsiaTheme="minorEastAsia" w:hAnsi="Times New Roman" w:cs="Times New Roman"/>
          <w:color w:val="000000" w:themeColor="text1"/>
          <w:sz w:val="28"/>
          <w:szCs w:val="28"/>
          <w:lang w:eastAsia="ru-RU"/>
        </w:rPr>
        <w:t>Петровское</w:t>
      </w:r>
      <w:proofErr w:type="gramEnd"/>
      <w:r w:rsidRPr="006E065B">
        <w:rPr>
          <w:rFonts w:ascii="Times New Roman" w:eastAsiaTheme="minorEastAsia" w:hAnsi="Times New Roman" w:cs="Times New Roman"/>
          <w:color w:val="000000" w:themeColor="text1"/>
          <w:sz w:val="28"/>
          <w:szCs w:val="28"/>
          <w:lang w:eastAsia="ru-RU"/>
        </w:rPr>
        <w:t>, Дворец Творчества детей и юношества, Детско-юношеские спортивные школы №1, № 2);</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 Межшкольный центр военно-патриотического воспитания и профессиональной ориентации учащихся. </w:t>
      </w:r>
    </w:p>
    <w:p w:rsidR="006E065B" w:rsidRPr="006E065B" w:rsidRDefault="006E065B" w:rsidP="006E065B">
      <w:pPr>
        <w:widowControl w:val="0"/>
        <w:tabs>
          <w:tab w:val="left" w:pos="945"/>
        </w:tabs>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Количество мест в дошкольных образовательных организациях по итогам 2023 года составило 1473. Очередь в образовательные дошкольные учреждения отсутствует.</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 сфере культуры в городе осуществляют 34 учреждения культуры: 2 музея, 18 клубных учреждений, 5 школ дополнительного образования, 9 библиотек. </w:t>
      </w:r>
    </w:p>
    <w:p w:rsidR="006E065B" w:rsidRPr="006E065B" w:rsidRDefault="006E065B" w:rsidP="006E065B">
      <w:pPr>
        <w:widowControl w:val="0"/>
        <w:tabs>
          <w:tab w:val="left" w:pos="1830"/>
        </w:tabs>
        <w:ind w:firstLine="709"/>
        <w:contextualSpacing/>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 границах территории города Красный Луч размещено 138 объектов культурного наследия, из них: памятники археологии - 66, архитектуры и градостроения - 34, истории - 30, монументального искусства - 8.</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Сеть учреждений спорта в городе в 2023 году не изменилась. Работают две детско-юношеские спортивные школы, ГУ ЛНР «Краснолучский комплекс спортивных сооружений», «Петровский комплекс спортивных сооружений».  На территории города находится 157 спортивных сооружений, из них 83  основных плоскостных спортивных сооружений, 26 помещений для физкультурно-оздоровительных занятий, 38 - спортивных залов площадью не менее 162 м</w:t>
      </w:r>
      <w:proofErr w:type="gramStart"/>
      <w:r w:rsidRPr="006E065B">
        <w:rPr>
          <w:rFonts w:ascii="Times New Roman" w:eastAsiaTheme="minorEastAsia" w:hAnsi="Times New Roman" w:cs="Times New Roman"/>
          <w:color w:val="000000" w:themeColor="text1"/>
          <w:sz w:val="28"/>
          <w:szCs w:val="28"/>
          <w:lang w:eastAsia="ru-RU"/>
        </w:rPr>
        <w:t>2</w:t>
      </w:r>
      <w:proofErr w:type="gramEnd"/>
      <w:r w:rsidRPr="006E065B">
        <w:rPr>
          <w:rFonts w:ascii="Times New Roman" w:eastAsiaTheme="minorEastAsia" w:hAnsi="Times New Roman" w:cs="Times New Roman"/>
          <w:color w:val="000000" w:themeColor="text1"/>
          <w:sz w:val="28"/>
          <w:szCs w:val="28"/>
          <w:lang w:eastAsia="ru-RU"/>
        </w:rPr>
        <w:t>, 1 крытый плавательный бассейн,1 плавательный бассейн, открытые и полуоткрытые стрелковые тиры -4, иные спортивные сооружения 2.</w:t>
      </w:r>
    </w:p>
    <w:p w:rsidR="000F6D1B" w:rsidRDefault="000F6D1B" w:rsidP="006E065B">
      <w:pPr>
        <w:pStyle w:val="a6"/>
        <w:spacing w:after="0" w:line="360" w:lineRule="auto"/>
        <w:ind w:left="0" w:firstLine="709"/>
        <w:jc w:val="center"/>
        <w:rPr>
          <w:rFonts w:ascii="Times New Roman" w:eastAsiaTheme="minorEastAsia" w:hAnsi="Times New Roman" w:cs="Times New Roman"/>
          <w:color w:val="000000" w:themeColor="text1"/>
          <w:sz w:val="28"/>
          <w:szCs w:val="28"/>
          <w:lang w:eastAsia="ru-RU"/>
        </w:rPr>
      </w:pPr>
    </w:p>
    <w:p w:rsidR="006E065B" w:rsidRPr="006E065B" w:rsidRDefault="006E065B" w:rsidP="006E065B">
      <w:pPr>
        <w:pStyle w:val="a6"/>
        <w:spacing w:after="0" w:line="360" w:lineRule="auto"/>
        <w:ind w:left="0" w:firstLine="709"/>
        <w:jc w:val="center"/>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Жилищно-коммунальное хозяйство</w:t>
      </w:r>
    </w:p>
    <w:p w:rsidR="006E065B" w:rsidRPr="006E065B" w:rsidRDefault="006E065B" w:rsidP="006E065B">
      <w:pPr>
        <w:pStyle w:val="a6"/>
        <w:spacing w:after="0" w:line="360" w:lineRule="auto"/>
        <w:ind w:left="0" w:firstLine="708"/>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 городе функционирует 2 государственных унитарных предприятия по водоснабжению и газоснабжению (ГУП ЛНР «Лугансквода», ГУП ЛНР «Луганскгаз»), 1 частное предприятие (ООО «ЛЭС»), 7 муниципальных унитарных предприятий. </w:t>
      </w:r>
    </w:p>
    <w:p w:rsidR="006E065B" w:rsidRPr="006E065B" w:rsidRDefault="006E065B" w:rsidP="006E065B">
      <w:pPr>
        <w:pStyle w:val="a6"/>
        <w:spacing w:after="0" w:line="360" w:lineRule="auto"/>
        <w:ind w:left="0"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На территории города Красный Луч образовано и зарегистрировано 4 муниципальных унитарных предприятия, которые оказывают услуги по благоустройству города, 2 муниципальных унитарных предприятия, которые оказывают жилищно-коммунальные услуги и 1 муниципальное унитарное </w:t>
      </w:r>
      <w:r w:rsidRPr="006E065B">
        <w:rPr>
          <w:rFonts w:ascii="Times New Roman" w:eastAsiaTheme="minorEastAsia" w:hAnsi="Times New Roman" w:cs="Times New Roman"/>
          <w:color w:val="000000" w:themeColor="text1"/>
          <w:sz w:val="28"/>
          <w:szCs w:val="28"/>
          <w:lang w:eastAsia="ru-RU"/>
        </w:rPr>
        <w:lastRenderedPageBreak/>
        <w:t>предприятие, оказывающее комплексное обслуживание объектов, предоставление в аренду и эксплуатацию собственного или арендованного недвижимого имущества.</w:t>
      </w:r>
    </w:p>
    <w:p w:rsidR="006E065B" w:rsidRPr="006E065B" w:rsidRDefault="006E065B" w:rsidP="006E065B">
      <w:pPr>
        <w:pStyle w:val="a6"/>
        <w:spacing w:after="0" w:line="360" w:lineRule="auto"/>
        <w:ind w:left="0"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За 11 месяцев 2023 года начислено за предоставленные коммунальные услуги 56707,14тыс. руб., оплачено 41707,05тыс. руб. Уровень оплаты жилищно-коммунальных услуг населением составил 73,5 %, за 2022 год – 75,2%.</w:t>
      </w:r>
    </w:p>
    <w:p w:rsidR="006E065B" w:rsidRPr="006E065B" w:rsidRDefault="006E065B" w:rsidP="006E065B">
      <w:pPr>
        <w:pStyle w:val="a6"/>
        <w:spacing w:after="0" w:line="360" w:lineRule="auto"/>
        <w:ind w:left="0"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Начислено услуг населению по содержанию домов и придомовых территорий за 11 месяцев 2023 года40541,44тыс. руб., оплачено 29809,85 тыс. руб. Уровень оплаты жилищно-коммунальных услуг населением на содержание домов и придомовых территорий составил 73,5 %.</w:t>
      </w:r>
    </w:p>
    <w:p w:rsidR="006E065B" w:rsidRPr="006E065B" w:rsidRDefault="006E065B" w:rsidP="006E065B">
      <w:pPr>
        <w:pStyle w:val="a6"/>
        <w:spacing w:after="0" w:line="360" w:lineRule="auto"/>
        <w:ind w:left="0"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Услуги водоснабжения и водоотведения на территории города Миусинск предоставляет МУП «РЭК». Начислено услуг населению по водоснабжению и водоотведению (кроме ГУП ЛНР «Лугансквода») за 11 месяцев 2023 года – 728,6тыс. руб., оплачено – 488,8тыс. руб. Уровень оплаты жилищно-коммунальных услуг населением за водоснабжение и водоотведение составил 67,1 % (без учета ГУП ЛНР «Лугансквода»).  </w:t>
      </w:r>
    </w:p>
    <w:p w:rsidR="006E065B" w:rsidRPr="006E065B" w:rsidRDefault="006E065B" w:rsidP="006E065B">
      <w:pPr>
        <w:pStyle w:val="a6"/>
        <w:spacing w:after="0" w:line="360" w:lineRule="auto"/>
        <w:ind w:left="0"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Начислено услуг населению по вывозу и захоронению твердых бытовых отходов за 11 месяцев 2023 года15437,1 тыс. руб., оплачено – 11408,4 тыс. руб. Уровень оплаты жилищно-коммунальных услуг населением за вывоз бытовых отходов составил 73,9 %.</w:t>
      </w:r>
    </w:p>
    <w:p w:rsidR="006E065B" w:rsidRPr="006E065B" w:rsidRDefault="006E065B" w:rsidP="006E065B">
      <w:pPr>
        <w:pStyle w:val="a6"/>
        <w:spacing w:after="0" w:line="360" w:lineRule="auto"/>
        <w:ind w:left="0" w:firstLine="708"/>
        <w:jc w:val="both"/>
        <w:rPr>
          <w:rFonts w:ascii="Times New Roman" w:eastAsiaTheme="minorEastAsia" w:hAnsi="Times New Roman" w:cs="Times New Roman"/>
          <w:color w:val="000000" w:themeColor="text1"/>
          <w:sz w:val="28"/>
          <w:szCs w:val="28"/>
          <w:lang w:eastAsia="ru-RU"/>
        </w:rPr>
      </w:pPr>
      <w:proofErr w:type="gramStart"/>
      <w:r w:rsidRPr="006E065B">
        <w:rPr>
          <w:rFonts w:ascii="Times New Roman" w:eastAsiaTheme="minorEastAsia" w:hAnsi="Times New Roman" w:cs="Times New Roman"/>
          <w:color w:val="000000" w:themeColor="text1"/>
          <w:sz w:val="28"/>
          <w:szCs w:val="28"/>
          <w:lang w:eastAsia="ru-RU"/>
        </w:rPr>
        <w:t>Общая фактическая численность работающих на муниципальных унитарных предприятиях города на 25.12.2023 года составила220человек.</w:t>
      </w:r>
      <w:proofErr w:type="gramEnd"/>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В рамках реализации Соглашения об экономическом, научно-техническом и культурном сотрудничестве, заключенного Администрацией города с Республикой Башкортостан, на территории города  выполнялись работы по восстановлению и ремонту зданий, сооружений, инженерной инфраструктуры, благоустройству территории.</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За 2023 год шефом-регионом завершены 48 объектов и выполнены следующие виды работ:</w:t>
      </w:r>
    </w:p>
    <w:p w:rsidR="006E065B" w:rsidRPr="006E065B" w:rsidRDefault="006E065B" w:rsidP="006E065B">
      <w:pPr>
        <w:pStyle w:val="a7"/>
        <w:widowControl w:val="0"/>
        <w:spacing w:line="360" w:lineRule="auto"/>
        <w:ind w:firstLine="709"/>
        <w:rPr>
          <w:rFonts w:eastAsiaTheme="minorEastAsia"/>
          <w:color w:val="000000" w:themeColor="text1"/>
          <w:sz w:val="28"/>
          <w:szCs w:val="28"/>
        </w:rPr>
      </w:pPr>
      <w:r w:rsidRPr="006E065B">
        <w:rPr>
          <w:rFonts w:eastAsiaTheme="minorEastAsia"/>
          <w:color w:val="000000" w:themeColor="text1"/>
          <w:sz w:val="28"/>
          <w:szCs w:val="28"/>
        </w:rPr>
        <w:t>1. Отремонтирован 1 водопровод</w:t>
      </w:r>
    </w:p>
    <w:p w:rsidR="006E065B" w:rsidRPr="006E065B" w:rsidRDefault="006E065B" w:rsidP="006E065B">
      <w:pPr>
        <w:pStyle w:val="a7"/>
        <w:widowControl w:val="0"/>
        <w:spacing w:line="360" w:lineRule="auto"/>
        <w:ind w:firstLine="709"/>
        <w:rPr>
          <w:rFonts w:eastAsiaTheme="minorEastAsia"/>
          <w:color w:val="000000" w:themeColor="text1"/>
          <w:sz w:val="28"/>
          <w:szCs w:val="28"/>
        </w:rPr>
      </w:pPr>
      <w:r w:rsidRPr="006E065B">
        <w:rPr>
          <w:rFonts w:eastAsiaTheme="minorEastAsia"/>
          <w:color w:val="000000" w:themeColor="text1"/>
          <w:sz w:val="28"/>
          <w:szCs w:val="28"/>
        </w:rPr>
        <w:lastRenderedPageBreak/>
        <w:t>(КРУМ - ул. Маршака, протяженность 3,2 м.).</w:t>
      </w:r>
    </w:p>
    <w:p w:rsidR="006E065B" w:rsidRPr="006E065B" w:rsidRDefault="006E065B" w:rsidP="006E065B">
      <w:pPr>
        <w:pStyle w:val="a7"/>
        <w:widowControl w:val="0"/>
        <w:spacing w:line="360" w:lineRule="auto"/>
        <w:ind w:firstLine="709"/>
        <w:rPr>
          <w:rFonts w:eastAsiaTheme="minorEastAsia"/>
          <w:color w:val="000000" w:themeColor="text1"/>
          <w:sz w:val="28"/>
          <w:szCs w:val="28"/>
        </w:rPr>
      </w:pPr>
      <w:r w:rsidRPr="006E065B">
        <w:rPr>
          <w:rFonts w:eastAsiaTheme="minorEastAsia"/>
          <w:color w:val="000000" w:themeColor="text1"/>
          <w:sz w:val="28"/>
          <w:szCs w:val="28"/>
        </w:rPr>
        <w:t xml:space="preserve">2. УВК №5 </w:t>
      </w:r>
    </w:p>
    <w:p w:rsidR="006E065B" w:rsidRPr="006E065B" w:rsidRDefault="006E065B" w:rsidP="006E065B">
      <w:pPr>
        <w:pStyle w:val="a7"/>
        <w:widowControl w:val="0"/>
        <w:spacing w:line="360" w:lineRule="auto"/>
        <w:ind w:firstLine="709"/>
        <w:rPr>
          <w:rFonts w:eastAsiaTheme="minorEastAsia"/>
          <w:color w:val="000000" w:themeColor="text1"/>
          <w:sz w:val="28"/>
          <w:szCs w:val="28"/>
        </w:rPr>
      </w:pPr>
      <w:r w:rsidRPr="006E065B">
        <w:rPr>
          <w:rFonts w:eastAsiaTheme="minorEastAsia"/>
          <w:color w:val="000000" w:themeColor="text1"/>
          <w:sz w:val="28"/>
          <w:szCs w:val="28"/>
        </w:rPr>
        <w:t xml:space="preserve">На объекте выполнены следующие работы - демонтаж кровельного покрытия, обустройство разуклонки кровли, укладка армирующей сетки, заливка стяжки. Выполнен монтаж слоев верхнего «пирога» кровельного покрытия. Выполнено восстановление вентиляционных шахт, а также работы по монтажу системы ограждения кровли.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3. </w:t>
      </w:r>
      <w:proofErr w:type="gramStart"/>
      <w:r w:rsidRPr="006E065B">
        <w:rPr>
          <w:rFonts w:ascii="Times New Roman" w:eastAsiaTheme="minorEastAsia" w:hAnsi="Times New Roman" w:cs="Times New Roman"/>
          <w:color w:val="000000" w:themeColor="text1"/>
          <w:sz w:val="28"/>
          <w:szCs w:val="28"/>
          <w:lang w:eastAsia="ru-RU"/>
        </w:rPr>
        <w:t>Ясли-сад</w:t>
      </w:r>
      <w:proofErr w:type="gramEnd"/>
      <w:r w:rsidRPr="006E065B">
        <w:rPr>
          <w:rFonts w:ascii="Times New Roman" w:eastAsiaTheme="minorEastAsia" w:hAnsi="Times New Roman" w:cs="Times New Roman"/>
          <w:color w:val="000000" w:themeColor="text1"/>
          <w:sz w:val="28"/>
          <w:szCs w:val="28"/>
          <w:lang w:eastAsia="ru-RU"/>
        </w:rPr>
        <w:t xml:space="preserve"> №2 «Барвинок»</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Выполнены работы по укладке внутренней канализации. Выполнен демонтаж/монтаж наружных и внутренних дверей, оконных блоков, устройства монолитных перекрытий санузлов, устройство перегородок санузлов. Выполнен монтаж керамической плитки полов и стен в пределах санузлов. Стропильная система готова на 100%. Выполнен монтаж металлопрофиля кровельного покрытия. Выполнены работы по монтажу сантехнических приборов. Монтаж системы отопления выполнен на 100%. Разводка водопроводных и канализационных сетей по всему зданию выполнены на 100%.  Ведутся работы по замывке помещений и помощь в расстановке мебели. Задействовано 10 человек.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4. Школа № 29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Выполнен демонтаж внутренних коммуникаций -  системы отопления, системы канализации, водоснабжения, демонтаж подоконников, внутренних откосов, керамической настенной и половой плитки. Выполнена частичная штукатурка и шпаклевка стен первого, второго и третьего этажей, полностью выполнена штукатурка парапетов и вентиляционных шахт на крыше. Выполнен монтаж керамической плитки и керрамогранита, выполнены заливка стяжки на перекрытиях, восстановление кровельного покрытия, монтаж оконных блоков. Сбор и утилизация мусора. Выполнен монтаж внутренней канализации и системы отопления. Выполнена разводка водопроводных сетей на 100% и канализации на 100%. Выполнены работы по монтажу сантехнических устройств. Укладка линолеума выполнена на 100%. Выполнены работы по замывке помещений, а также устранению выявленных недочетов. Система </w:t>
      </w:r>
      <w:r w:rsidRPr="006E065B">
        <w:rPr>
          <w:rFonts w:ascii="Times New Roman" w:eastAsiaTheme="minorEastAsia" w:hAnsi="Times New Roman" w:cs="Times New Roman"/>
          <w:color w:val="000000" w:themeColor="text1"/>
          <w:sz w:val="28"/>
          <w:szCs w:val="28"/>
          <w:lang w:eastAsia="ru-RU"/>
        </w:rPr>
        <w:lastRenderedPageBreak/>
        <w:t>отопления заполнена водой и опрессована. На объекте задействовано 5 человек.</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5. </w:t>
      </w:r>
      <w:proofErr w:type="gramStart"/>
      <w:r w:rsidRPr="006E065B">
        <w:rPr>
          <w:rFonts w:ascii="Times New Roman" w:eastAsiaTheme="minorEastAsia" w:hAnsi="Times New Roman" w:cs="Times New Roman"/>
          <w:color w:val="000000" w:themeColor="text1"/>
          <w:sz w:val="28"/>
          <w:szCs w:val="28"/>
          <w:lang w:eastAsia="ru-RU"/>
        </w:rPr>
        <w:t>Ясли-сад</w:t>
      </w:r>
      <w:proofErr w:type="gramEnd"/>
      <w:r w:rsidRPr="006E065B">
        <w:rPr>
          <w:rFonts w:ascii="Times New Roman" w:eastAsiaTheme="minorEastAsia" w:hAnsi="Times New Roman" w:cs="Times New Roman"/>
          <w:color w:val="000000" w:themeColor="text1"/>
          <w:sz w:val="28"/>
          <w:szCs w:val="28"/>
          <w:lang w:eastAsia="ru-RU"/>
        </w:rPr>
        <w:t xml:space="preserve"> №53 «Звездочка»</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Стропильная система и монтаж металлопрофиля готовы на 100%. Закончены работы по монтажу оконных блоков и наружных дверных блоков. Закончены работы по монтажу системы отопления и внутренних дверных блоков.  Выполнены работы по восстановлению систем водоснабжения и канализации. Выполнены работы по монтажу настенной и половой плитки в пределах санузлов, выравниванию полов плитами ОСБ и монтажу линолеума на этажах здания.</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6. Отремонтировано дорог:</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Хрустальское шоссе, протяженность – </w:t>
      </w:r>
      <w:smartTag w:uri="urn:schemas-microsoft-com:office:smarttags" w:element="metricconverter">
        <w:smartTagPr>
          <w:attr w:name="ProductID" w:val="1.895 км"/>
        </w:smartTagPr>
        <w:r w:rsidRPr="006E065B">
          <w:rPr>
            <w:rFonts w:ascii="Times New Roman" w:eastAsiaTheme="minorEastAsia" w:hAnsi="Times New Roman" w:cs="Times New Roman"/>
            <w:color w:val="000000" w:themeColor="text1"/>
            <w:sz w:val="28"/>
            <w:szCs w:val="28"/>
            <w:lang w:eastAsia="ru-RU"/>
          </w:rPr>
          <w:t>1.895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пгт. </w:t>
      </w:r>
      <w:proofErr w:type="gramStart"/>
      <w:r w:rsidRPr="006E065B">
        <w:rPr>
          <w:rFonts w:ascii="Times New Roman" w:eastAsiaTheme="minorEastAsia" w:hAnsi="Times New Roman" w:cs="Times New Roman"/>
          <w:color w:val="000000" w:themeColor="text1"/>
          <w:sz w:val="28"/>
          <w:szCs w:val="28"/>
          <w:lang w:eastAsia="ru-RU"/>
        </w:rPr>
        <w:t>Хрустальное – город Вахрушево, протяженность 2,5км)</w:t>
      </w:r>
      <w:proofErr w:type="gramEnd"/>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Калинина </w:t>
      </w:r>
      <w:proofErr w:type="gramStart"/>
      <w:r w:rsidRPr="006E065B">
        <w:rPr>
          <w:rFonts w:ascii="Times New Roman" w:eastAsiaTheme="minorEastAsia" w:hAnsi="Times New Roman" w:cs="Times New Roman"/>
          <w:color w:val="000000" w:themeColor="text1"/>
          <w:sz w:val="28"/>
          <w:szCs w:val="28"/>
          <w:lang w:eastAsia="ru-RU"/>
        </w:rPr>
        <w:t>г</w:t>
      </w:r>
      <w:proofErr w:type="gramEnd"/>
      <w:r w:rsidRPr="006E065B">
        <w:rPr>
          <w:rFonts w:ascii="Times New Roman" w:eastAsiaTheme="minorEastAsia" w:hAnsi="Times New Roman" w:cs="Times New Roman"/>
          <w:color w:val="000000" w:themeColor="text1"/>
          <w:sz w:val="28"/>
          <w:szCs w:val="28"/>
          <w:lang w:eastAsia="ru-RU"/>
        </w:rPr>
        <w:t xml:space="preserve">. Вахрушево – </w:t>
      </w:r>
      <w:smartTag w:uri="urn:schemas-microsoft-com:office:smarttags" w:element="metricconverter">
        <w:smartTagPr>
          <w:attr w:name="ProductID" w:val="2,960 км"/>
        </w:smartTagPr>
        <w:r w:rsidRPr="006E065B">
          <w:rPr>
            <w:rFonts w:ascii="Times New Roman" w:eastAsiaTheme="minorEastAsia" w:hAnsi="Times New Roman" w:cs="Times New Roman"/>
            <w:color w:val="000000" w:themeColor="text1"/>
            <w:sz w:val="28"/>
            <w:szCs w:val="28"/>
            <w:lang w:eastAsia="ru-RU"/>
          </w:rPr>
          <w:t>2,960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Индустиальная – </w:t>
      </w:r>
      <w:smartTag w:uri="urn:schemas-microsoft-com:office:smarttags" w:element="metricconverter">
        <w:smartTagPr>
          <w:attr w:name="ProductID" w:val="0,550 км"/>
        </w:smartTagPr>
        <w:r w:rsidRPr="006E065B">
          <w:rPr>
            <w:rFonts w:ascii="Times New Roman" w:eastAsiaTheme="minorEastAsia" w:hAnsi="Times New Roman" w:cs="Times New Roman"/>
            <w:color w:val="000000" w:themeColor="text1"/>
            <w:sz w:val="28"/>
            <w:szCs w:val="28"/>
            <w:lang w:eastAsia="ru-RU"/>
          </w:rPr>
          <w:t>0,550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Правды – </w:t>
      </w:r>
      <w:smartTag w:uri="urn:schemas-microsoft-com:office:smarttags" w:element="metricconverter">
        <w:smartTagPr>
          <w:attr w:name="ProductID" w:val="0,330 км"/>
        </w:smartTagPr>
        <w:r w:rsidRPr="006E065B">
          <w:rPr>
            <w:rFonts w:ascii="Times New Roman" w:eastAsiaTheme="minorEastAsia" w:hAnsi="Times New Roman" w:cs="Times New Roman"/>
            <w:color w:val="000000" w:themeColor="text1"/>
            <w:sz w:val="28"/>
            <w:szCs w:val="28"/>
            <w:lang w:eastAsia="ru-RU"/>
          </w:rPr>
          <w:t>0,330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Пушкина – </w:t>
      </w:r>
      <w:smartTag w:uri="urn:schemas-microsoft-com:office:smarttags" w:element="metricconverter">
        <w:smartTagPr>
          <w:attr w:name="ProductID" w:val="0,44 км"/>
        </w:smartTagPr>
        <w:r w:rsidRPr="006E065B">
          <w:rPr>
            <w:rFonts w:ascii="Times New Roman" w:eastAsiaTheme="minorEastAsia" w:hAnsi="Times New Roman" w:cs="Times New Roman"/>
            <w:color w:val="000000" w:themeColor="text1"/>
            <w:sz w:val="28"/>
            <w:szCs w:val="28"/>
            <w:lang w:eastAsia="ru-RU"/>
          </w:rPr>
          <w:t>0,44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Б.Хмельницкого – </w:t>
      </w:r>
      <w:smartTag w:uri="urn:schemas-microsoft-com:office:smarttags" w:element="metricconverter">
        <w:smartTagPr>
          <w:attr w:name="ProductID" w:val="1,94 км"/>
        </w:smartTagPr>
        <w:r w:rsidRPr="006E065B">
          <w:rPr>
            <w:rFonts w:ascii="Times New Roman" w:eastAsiaTheme="minorEastAsia" w:hAnsi="Times New Roman" w:cs="Times New Roman"/>
            <w:color w:val="000000" w:themeColor="text1"/>
            <w:sz w:val="28"/>
            <w:szCs w:val="28"/>
            <w:lang w:eastAsia="ru-RU"/>
          </w:rPr>
          <w:t>1,94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 направление Вахрушево – выполнено ВСЕГО: </w:t>
      </w:r>
      <w:smartTag w:uri="urn:schemas-microsoft-com:office:smarttags" w:element="metricconverter">
        <w:smartTagPr>
          <w:attr w:name="ProductID" w:val="10,635 км"/>
        </w:smartTagPr>
        <w:r w:rsidRPr="006E065B">
          <w:rPr>
            <w:rFonts w:ascii="Times New Roman" w:eastAsiaTheme="minorEastAsia" w:hAnsi="Times New Roman" w:cs="Times New Roman"/>
            <w:color w:val="000000" w:themeColor="text1"/>
            <w:sz w:val="28"/>
            <w:szCs w:val="28"/>
            <w:lang w:eastAsia="ru-RU"/>
          </w:rPr>
          <w:t>10,635 км</w:t>
        </w:r>
      </w:smartTag>
      <w:r w:rsidRPr="006E065B">
        <w:rPr>
          <w:rFonts w:ascii="Times New Roman" w:eastAsiaTheme="minorEastAsia" w:hAnsi="Times New Roman" w:cs="Times New Roman"/>
          <w:color w:val="000000" w:themeColor="text1"/>
          <w:sz w:val="28"/>
          <w:szCs w:val="28"/>
          <w:lang w:eastAsia="ru-RU"/>
        </w:rPr>
        <w:t xml:space="preserve">.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proofErr w:type="gramStart"/>
      <w:r w:rsidRPr="006E065B">
        <w:rPr>
          <w:rFonts w:ascii="Times New Roman" w:eastAsiaTheme="minorEastAsia" w:hAnsi="Times New Roman" w:cs="Times New Roman"/>
          <w:color w:val="000000" w:themeColor="text1"/>
          <w:sz w:val="28"/>
          <w:szCs w:val="28"/>
          <w:lang w:eastAsia="ru-RU"/>
        </w:rPr>
        <w:t xml:space="preserve">Автодорога г. Петровское - Подъезд к мемориалу (ул. Почтовая, ул. Первомайская, ул. Ленина), площадь воинов 7-го гвардейского кавалерийского корпуса – </w:t>
      </w:r>
      <w:smartTag w:uri="urn:schemas-microsoft-com:office:smarttags" w:element="metricconverter">
        <w:smartTagPr>
          <w:attr w:name="ProductID" w:val="2,359 км"/>
        </w:smartTagPr>
        <w:r w:rsidRPr="006E065B">
          <w:rPr>
            <w:rFonts w:ascii="Times New Roman" w:eastAsiaTheme="minorEastAsia" w:hAnsi="Times New Roman" w:cs="Times New Roman"/>
            <w:color w:val="000000" w:themeColor="text1"/>
            <w:sz w:val="28"/>
            <w:szCs w:val="28"/>
            <w:lang w:eastAsia="ru-RU"/>
          </w:rPr>
          <w:t>2,359 км</w:t>
        </w:r>
      </w:smartTag>
      <w:r w:rsidRPr="006E065B">
        <w:rPr>
          <w:rFonts w:ascii="Times New Roman" w:eastAsiaTheme="minorEastAsia" w:hAnsi="Times New Roman" w:cs="Times New Roman"/>
          <w:color w:val="000000" w:themeColor="text1"/>
          <w:sz w:val="28"/>
          <w:szCs w:val="28"/>
          <w:lang w:eastAsia="ru-RU"/>
        </w:rPr>
        <w:t>.</w:t>
      </w:r>
      <w:proofErr w:type="gramEnd"/>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Вольного – </w:t>
      </w:r>
      <w:smartTag w:uri="urn:schemas-microsoft-com:office:smarttags" w:element="metricconverter">
        <w:smartTagPr>
          <w:attr w:name="ProductID" w:val="1,26 км"/>
        </w:smartTagPr>
        <w:r w:rsidRPr="006E065B">
          <w:rPr>
            <w:rFonts w:ascii="Times New Roman" w:eastAsiaTheme="minorEastAsia" w:hAnsi="Times New Roman" w:cs="Times New Roman"/>
            <w:color w:val="000000" w:themeColor="text1"/>
            <w:sz w:val="28"/>
            <w:szCs w:val="28"/>
            <w:lang w:eastAsia="ru-RU"/>
          </w:rPr>
          <w:t>1,26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Студенческая – </w:t>
      </w:r>
      <w:smartTag w:uri="urn:schemas-microsoft-com:office:smarttags" w:element="metricconverter">
        <w:smartTagPr>
          <w:attr w:name="ProductID" w:val="2,03 км"/>
        </w:smartTagPr>
        <w:r w:rsidRPr="006E065B">
          <w:rPr>
            <w:rFonts w:ascii="Times New Roman" w:eastAsiaTheme="minorEastAsia" w:hAnsi="Times New Roman" w:cs="Times New Roman"/>
            <w:color w:val="000000" w:themeColor="text1"/>
            <w:sz w:val="28"/>
            <w:szCs w:val="28"/>
            <w:lang w:eastAsia="ru-RU"/>
          </w:rPr>
          <w:t>2,03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Хасанова – </w:t>
      </w:r>
      <w:smartTag w:uri="urn:schemas-microsoft-com:office:smarttags" w:element="metricconverter">
        <w:smartTagPr>
          <w:attr w:name="ProductID" w:val="1,1 км"/>
        </w:smartTagPr>
        <w:r w:rsidRPr="006E065B">
          <w:rPr>
            <w:rFonts w:ascii="Times New Roman" w:eastAsiaTheme="minorEastAsia" w:hAnsi="Times New Roman" w:cs="Times New Roman"/>
            <w:color w:val="000000" w:themeColor="text1"/>
            <w:sz w:val="28"/>
            <w:szCs w:val="28"/>
            <w:lang w:eastAsia="ru-RU"/>
          </w:rPr>
          <w:t>1,1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Зенковецкая – </w:t>
      </w:r>
      <w:smartTag w:uri="urn:schemas-microsoft-com:office:smarttags" w:element="metricconverter">
        <w:smartTagPr>
          <w:attr w:name="ProductID" w:val="1,224 км"/>
        </w:smartTagPr>
        <w:r w:rsidRPr="006E065B">
          <w:rPr>
            <w:rFonts w:ascii="Times New Roman" w:eastAsiaTheme="minorEastAsia" w:hAnsi="Times New Roman" w:cs="Times New Roman"/>
            <w:color w:val="000000" w:themeColor="text1"/>
            <w:sz w:val="28"/>
            <w:szCs w:val="28"/>
            <w:lang w:eastAsia="ru-RU"/>
          </w:rPr>
          <w:t>1,224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Мира – </w:t>
      </w:r>
      <w:smartTag w:uri="urn:schemas-microsoft-com:office:smarttags" w:element="metricconverter">
        <w:smartTagPr>
          <w:attr w:name="ProductID" w:val="0,56 км"/>
        </w:smartTagPr>
        <w:r w:rsidRPr="006E065B">
          <w:rPr>
            <w:rFonts w:ascii="Times New Roman" w:eastAsiaTheme="minorEastAsia" w:hAnsi="Times New Roman" w:cs="Times New Roman"/>
            <w:color w:val="000000" w:themeColor="text1"/>
            <w:sz w:val="28"/>
            <w:szCs w:val="28"/>
            <w:lang w:eastAsia="ru-RU"/>
          </w:rPr>
          <w:t>0,56 км</w:t>
        </w:r>
      </w:smartTag>
      <w:r w:rsidRPr="006E065B">
        <w:rPr>
          <w:rFonts w:ascii="Times New Roman" w:eastAsiaTheme="minorEastAsia" w:hAnsi="Times New Roman" w:cs="Times New Roman"/>
          <w:color w:val="000000" w:themeColor="text1"/>
          <w:sz w:val="28"/>
          <w:szCs w:val="28"/>
          <w:lang w:eastAsia="ru-RU"/>
        </w:rPr>
        <w:t xml:space="preserve">.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Челюскинцев – </w:t>
      </w:r>
      <w:smartTag w:uri="urn:schemas-microsoft-com:office:smarttags" w:element="metricconverter">
        <w:smartTagPr>
          <w:attr w:name="ProductID" w:val="2,03 км"/>
        </w:smartTagPr>
        <w:r w:rsidRPr="006E065B">
          <w:rPr>
            <w:rFonts w:ascii="Times New Roman" w:eastAsiaTheme="minorEastAsia" w:hAnsi="Times New Roman" w:cs="Times New Roman"/>
            <w:color w:val="000000" w:themeColor="text1"/>
            <w:sz w:val="28"/>
            <w:szCs w:val="28"/>
            <w:lang w:eastAsia="ru-RU"/>
          </w:rPr>
          <w:t>2,03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ул. Попова, ул. Пожарского – </w:t>
      </w:r>
      <w:smartTag w:uri="urn:schemas-microsoft-com:office:smarttags" w:element="metricconverter">
        <w:smartTagPr>
          <w:attr w:name="ProductID" w:val="1,86 км"/>
        </w:smartTagPr>
        <w:r w:rsidRPr="006E065B">
          <w:rPr>
            <w:rFonts w:ascii="Times New Roman" w:eastAsiaTheme="minorEastAsia" w:hAnsi="Times New Roman" w:cs="Times New Roman"/>
            <w:color w:val="000000" w:themeColor="text1"/>
            <w:sz w:val="28"/>
            <w:szCs w:val="28"/>
            <w:lang w:eastAsia="ru-RU"/>
          </w:rPr>
          <w:t>1,86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Малидовского – </w:t>
      </w:r>
      <w:smartTag w:uri="urn:schemas-microsoft-com:office:smarttags" w:element="metricconverter">
        <w:smartTagPr>
          <w:attr w:name="ProductID" w:val="1,216 км"/>
        </w:smartTagPr>
        <w:r w:rsidRPr="006E065B">
          <w:rPr>
            <w:rFonts w:ascii="Times New Roman" w:eastAsiaTheme="minorEastAsia" w:hAnsi="Times New Roman" w:cs="Times New Roman"/>
            <w:color w:val="000000" w:themeColor="text1"/>
            <w:sz w:val="28"/>
            <w:szCs w:val="28"/>
            <w:lang w:eastAsia="ru-RU"/>
          </w:rPr>
          <w:t>1,216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Автодорога ул. Наумова – </w:t>
      </w:r>
      <w:smartTag w:uri="urn:schemas-microsoft-com:office:smarttags" w:element="metricconverter">
        <w:smartTagPr>
          <w:attr w:name="ProductID" w:val="1,4 км"/>
        </w:smartTagPr>
        <w:r w:rsidRPr="006E065B">
          <w:rPr>
            <w:rFonts w:ascii="Times New Roman" w:eastAsiaTheme="minorEastAsia" w:hAnsi="Times New Roman" w:cs="Times New Roman"/>
            <w:color w:val="000000" w:themeColor="text1"/>
            <w:sz w:val="28"/>
            <w:szCs w:val="28"/>
            <w:lang w:eastAsia="ru-RU"/>
          </w:rPr>
          <w:t>1,4 км</w:t>
        </w:r>
      </w:smartTag>
      <w:r w:rsidRPr="006E065B">
        <w:rPr>
          <w:rFonts w:ascii="Times New Roman" w:eastAsiaTheme="minorEastAsia" w:hAnsi="Times New Roman" w:cs="Times New Roman"/>
          <w:color w:val="000000" w:themeColor="text1"/>
          <w:sz w:val="28"/>
          <w:szCs w:val="28"/>
          <w:lang w:eastAsia="ru-RU"/>
        </w:rPr>
        <w:t>.</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ВСЕГО протяженность – </w:t>
      </w:r>
      <w:smartTag w:uri="urn:schemas-microsoft-com:office:smarttags" w:element="metricconverter">
        <w:smartTagPr>
          <w:attr w:name="ProductID" w:val="25,734 км"/>
        </w:smartTagPr>
        <w:r w:rsidRPr="006E065B">
          <w:rPr>
            <w:rFonts w:ascii="Times New Roman" w:eastAsiaTheme="minorEastAsia" w:hAnsi="Times New Roman" w:cs="Times New Roman"/>
            <w:color w:val="000000" w:themeColor="text1"/>
            <w:sz w:val="28"/>
            <w:szCs w:val="28"/>
            <w:lang w:eastAsia="ru-RU"/>
          </w:rPr>
          <w:t>25,734 км</w:t>
        </w:r>
      </w:smartTag>
      <w:r w:rsidRPr="006E065B">
        <w:rPr>
          <w:rFonts w:ascii="Times New Roman" w:eastAsiaTheme="minorEastAsia" w:hAnsi="Times New Roman" w:cs="Times New Roman"/>
          <w:color w:val="000000" w:themeColor="text1"/>
          <w:sz w:val="28"/>
          <w:szCs w:val="28"/>
          <w:lang w:eastAsia="ru-RU"/>
        </w:rPr>
        <w:t xml:space="preserve">.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lastRenderedPageBreak/>
        <w:t>7. Ремонт крыш МКД – 20 единиц:</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ул. Пахоли, д.5.</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3. д.5.</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3. д. 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3. д. 42.</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ул. Новая, д.1.</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4, д. 5.</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4, д. 2.</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4, д. 8.</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 6б.</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 14</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ул. Вольного, д. 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ул. Ленина 38А</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3, д.29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д.19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3. д.39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 3</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 8</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 13</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ул. К. Маркса, д. 1</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Микрорайон 2, д.5.</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8. Ремонт помещения, фасада зданияМФЦ – ул. </w:t>
      </w:r>
      <w:proofErr w:type="gramStart"/>
      <w:r w:rsidRPr="006E065B">
        <w:rPr>
          <w:rFonts w:ascii="Times New Roman" w:eastAsiaTheme="minorEastAsia" w:hAnsi="Times New Roman" w:cs="Times New Roman"/>
          <w:color w:val="000000" w:themeColor="text1"/>
          <w:sz w:val="28"/>
          <w:szCs w:val="28"/>
          <w:lang w:eastAsia="ru-RU"/>
        </w:rPr>
        <w:t>Магистральная</w:t>
      </w:r>
      <w:proofErr w:type="gramEnd"/>
      <w:r w:rsidRPr="006E065B">
        <w:rPr>
          <w:rFonts w:ascii="Times New Roman" w:eastAsiaTheme="minorEastAsia" w:hAnsi="Times New Roman" w:cs="Times New Roman"/>
          <w:color w:val="000000" w:themeColor="text1"/>
          <w:sz w:val="28"/>
          <w:szCs w:val="28"/>
          <w:lang w:eastAsia="ru-RU"/>
        </w:rPr>
        <w:t>, д.62 л</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9. Ремонтшколы №22.</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10. Установка модульного асфальтобетонного завода, п. Зеленый Гай, ул. Школьная, д.37.</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11. Установка </w:t>
      </w:r>
      <w:proofErr w:type="gramStart"/>
      <w:r w:rsidRPr="006E065B">
        <w:rPr>
          <w:rFonts w:ascii="Times New Roman" w:eastAsiaTheme="minorEastAsia" w:hAnsi="Times New Roman" w:cs="Times New Roman"/>
          <w:color w:val="000000" w:themeColor="text1"/>
          <w:sz w:val="28"/>
          <w:szCs w:val="28"/>
          <w:lang w:eastAsia="ru-RU"/>
        </w:rPr>
        <w:t>модульных</w:t>
      </w:r>
      <w:proofErr w:type="gramEnd"/>
      <w:r w:rsidRPr="006E065B">
        <w:rPr>
          <w:rFonts w:ascii="Times New Roman" w:eastAsiaTheme="minorEastAsia" w:hAnsi="Times New Roman" w:cs="Times New Roman"/>
          <w:color w:val="000000" w:themeColor="text1"/>
          <w:sz w:val="28"/>
          <w:szCs w:val="28"/>
          <w:lang w:eastAsia="ru-RU"/>
        </w:rPr>
        <w:t xml:space="preserve"> газовых котельныхв ГОУ ЛНР "Краснолучскаяшкола № 10" и ГОУ ЛНР "Краснолучскаяшкола № 11".</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12. Школа №7</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Проводится 2-й этап капитального ремонта здания. Выполнены работы по демонтажу системы отопления, водоснабжения и водоотведения. Выполнен демонтаж шлаковой подложки на полах и самих полов. Очистка стен потолков </w:t>
      </w:r>
      <w:r w:rsidRPr="006E065B">
        <w:rPr>
          <w:rFonts w:ascii="Times New Roman" w:eastAsiaTheme="minorEastAsia" w:hAnsi="Times New Roman" w:cs="Times New Roman"/>
          <w:color w:val="000000" w:themeColor="text1"/>
          <w:sz w:val="28"/>
          <w:szCs w:val="28"/>
          <w:lang w:eastAsia="ru-RU"/>
        </w:rPr>
        <w:lastRenderedPageBreak/>
        <w:t xml:space="preserve">от отслоившейся штукатурки. Выполнены работы по отсыпке керамзита и по монтажу бетонной стяжки полов в уровнях всех этажей. Выполнены работы по монтажу внутренней канализации, водоснабжения, выполняются работы по восстановлению вентиляционных каналов в уровне чердака и кровельного покрытия. Ведутся работы по подготовке подоконных ниш наружных стен (отделка двумя слоями ГКЛ по каркасу) для последующей навески радиаторов отопления, в также выполняются работы по монтажу трубопроводов системы отопления. </w:t>
      </w:r>
    </w:p>
    <w:p w:rsidR="006E065B" w:rsidRPr="006E065B" w:rsidRDefault="006E065B" w:rsidP="006E065B">
      <w:pPr>
        <w:pStyle w:val="a7"/>
        <w:widowControl w:val="0"/>
        <w:spacing w:line="360" w:lineRule="auto"/>
        <w:ind w:firstLine="709"/>
        <w:jc w:val="both"/>
        <w:rPr>
          <w:rFonts w:eastAsiaTheme="minorEastAsia"/>
          <w:color w:val="000000" w:themeColor="text1"/>
          <w:sz w:val="28"/>
          <w:szCs w:val="28"/>
        </w:rPr>
      </w:pPr>
      <w:r w:rsidRPr="006E065B">
        <w:rPr>
          <w:rFonts w:eastAsiaTheme="minorEastAsia"/>
          <w:color w:val="000000" w:themeColor="text1"/>
          <w:sz w:val="28"/>
          <w:szCs w:val="28"/>
        </w:rPr>
        <w:t>Ведутся работы на 13 объектах: - людей – 96.</w:t>
      </w:r>
    </w:p>
    <w:p w:rsidR="006E065B" w:rsidRPr="006E065B" w:rsidRDefault="006E065B" w:rsidP="006E065B">
      <w:pPr>
        <w:widowControl w:val="0"/>
        <w:ind w:left="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 ДК им. Ленина</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Произведен демонтаж перекрытия третьего этажа, демонтаж перекрытия большого зрительного зала, ведется демонтаж перекрытия кинозала. Производятся работы по уборки мусора. Выполнена подготовка строительной площадки к монтажу кровельного покрытия, стропильной системы, а также монтажу балок перекрытия верхнего этажа. Ведутся работы по монтажу деревянной стропильной системы кровельного покрытия здания, а также монтаж металлических балок перекрытия третьего этажа. Задействовано 44 человек. Готовность объекта – 55%.</w:t>
      </w:r>
    </w:p>
    <w:p w:rsidR="006E065B" w:rsidRPr="006E065B" w:rsidRDefault="006E065B" w:rsidP="006E065B">
      <w:pPr>
        <w:pStyle w:val="a7"/>
        <w:widowControl w:val="0"/>
        <w:spacing w:line="360" w:lineRule="auto"/>
        <w:ind w:firstLine="709"/>
        <w:jc w:val="both"/>
        <w:rPr>
          <w:rFonts w:eastAsiaTheme="minorEastAsia"/>
          <w:color w:val="000000" w:themeColor="text1"/>
          <w:sz w:val="28"/>
          <w:szCs w:val="28"/>
        </w:rPr>
      </w:pPr>
      <w:r w:rsidRPr="006E065B">
        <w:rPr>
          <w:rFonts w:eastAsiaTheme="minorEastAsia"/>
          <w:color w:val="000000" w:themeColor="text1"/>
          <w:sz w:val="28"/>
          <w:szCs w:val="28"/>
        </w:rPr>
        <w:t>ВСЕГО задействовано на работах 80 человек.</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2. Водонасосная станция 2 подъемаг. Миусинск, ул. </w:t>
      </w:r>
      <w:proofErr w:type="gramStart"/>
      <w:r w:rsidRPr="006E065B">
        <w:rPr>
          <w:rFonts w:ascii="Times New Roman" w:eastAsiaTheme="minorEastAsia" w:hAnsi="Times New Roman" w:cs="Times New Roman"/>
          <w:color w:val="000000" w:themeColor="text1"/>
          <w:sz w:val="28"/>
          <w:szCs w:val="28"/>
          <w:lang w:eastAsia="ru-RU"/>
        </w:rPr>
        <w:t>Комсомольская</w:t>
      </w:r>
      <w:proofErr w:type="gramEnd"/>
      <w:r w:rsidRPr="006E065B">
        <w:rPr>
          <w:rFonts w:ascii="Times New Roman" w:eastAsiaTheme="minorEastAsia" w:hAnsi="Times New Roman" w:cs="Times New Roman"/>
          <w:color w:val="000000" w:themeColor="text1"/>
          <w:sz w:val="28"/>
          <w:szCs w:val="28"/>
          <w:lang w:eastAsia="ru-RU"/>
        </w:rPr>
        <w:t>, 20а.</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Завершены общестроительные работы. Завершены работы по обустройству площадок для монтажа оборудования. Установлены грузоподъемные механизмы. Начаты работы по монтажу насосных установок и электрической части управления.  Задействовано – 4 человека. Готовность объекта – 76 %.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3. Водонасосная станция КРУМ ул. Грабовского 55.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Завершены общестроительные работы. Выполнена установка оконных блоков. Завершены работы по обустройству площадок для монтажа оборудования. Установлены грузоподъемные механизмы. Начаты работы по монтажу насосных установок и электрической части управления. Производится монтаж ультрафиолетовой установки. Задействовано – 4 человека. Готовность </w:t>
      </w:r>
      <w:r w:rsidRPr="006E065B">
        <w:rPr>
          <w:rFonts w:ascii="Times New Roman" w:eastAsiaTheme="minorEastAsia" w:hAnsi="Times New Roman" w:cs="Times New Roman"/>
          <w:color w:val="000000" w:themeColor="text1"/>
          <w:sz w:val="28"/>
          <w:szCs w:val="28"/>
          <w:lang w:eastAsia="ru-RU"/>
        </w:rPr>
        <w:lastRenderedPageBreak/>
        <w:t>объекта – 67 %.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4. Канализационная насосная станция № 5, ул. Вольного, д. 9а. Завершены общестроительные работы, ведется обустройство площадок для монтажа оборудования. Завершены работы по обустройству площадок для монтажа оборудования. Установлены грузоподъемные механизмы. Начаты работы по монтажу насосных установок и электрической части управления, осуществляется демонтаж нерабочего оборудования. Задействовано – 4 человека. Готовность объекта – 70 %.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5. Канализационная насосная станция № 1,микрорайон 1 д. 17а. Завершены общестроительные работы. Произведены работы по утеплению помещения. Завершены работы по обустройству площадок для монтажа оборудования. Установлены грузоподъемные механизмы. Начаты работы по монтажу насосных установок и электрической части управления.                           Задействовано – 4 человека. Готовность объекта – 60 %.</w:t>
      </w:r>
    </w:p>
    <w:p w:rsidR="006E065B" w:rsidRPr="006E065B" w:rsidRDefault="006E065B" w:rsidP="006E065B">
      <w:pPr>
        <w:pStyle w:val="a7"/>
        <w:widowControl w:val="0"/>
        <w:spacing w:line="360" w:lineRule="auto"/>
        <w:ind w:firstLine="709"/>
        <w:jc w:val="both"/>
        <w:rPr>
          <w:rFonts w:eastAsiaTheme="minorEastAsia"/>
          <w:color w:val="000000" w:themeColor="text1"/>
          <w:sz w:val="28"/>
          <w:szCs w:val="28"/>
        </w:rPr>
      </w:pPr>
      <w:r w:rsidRPr="006E065B">
        <w:rPr>
          <w:rFonts w:eastAsiaTheme="minorEastAsia"/>
          <w:color w:val="000000" w:themeColor="text1"/>
          <w:sz w:val="28"/>
          <w:szCs w:val="28"/>
        </w:rPr>
        <w:t>6. КНС «ВГСЧ» 30.09.2023 взяты в работу на промышленных мощностях в городе Каменец-Шахтинский ведется изготовление приемочной камеры – Готовность – 60%.</w:t>
      </w:r>
    </w:p>
    <w:p w:rsidR="006E065B" w:rsidRPr="006E065B" w:rsidRDefault="006E065B" w:rsidP="006E065B">
      <w:pPr>
        <w:pStyle w:val="a7"/>
        <w:widowControl w:val="0"/>
        <w:spacing w:line="360" w:lineRule="auto"/>
        <w:ind w:left="709"/>
        <w:jc w:val="both"/>
        <w:rPr>
          <w:rFonts w:eastAsiaTheme="minorEastAsia"/>
          <w:color w:val="000000" w:themeColor="text1"/>
          <w:sz w:val="28"/>
          <w:szCs w:val="28"/>
        </w:rPr>
      </w:pPr>
      <w:r w:rsidRPr="006E065B">
        <w:rPr>
          <w:rFonts w:eastAsiaTheme="minorEastAsia"/>
          <w:color w:val="000000" w:themeColor="text1"/>
          <w:sz w:val="28"/>
          <w:szCs w:val="28"/>
        </w:rPr>
        <w:t xml:space="preserve">7. Напорный коллектор до КНС 1 </w:t>
      </w:r>
    </w:p>
    <w:p w:rsidR="006E065B" w:rsidRPr="006E065B" w:rsidRDefault="006E065B" w:rsidP="006E065B">
      <w:pPr>
        <w:pStyle w:val="a7"/>
        <w:widowControl w:val="0"/>
        <w:spacing w:line="360" w:lineRule="auto"/>
        <w:ind w:firstLine="709"/>
        <w:jc w:val="both"/>
        <w:rPr>
          <w:rFonts w:eastAsiaTheme="minorEastAsia"/>
          <w:color w:val="000000" w:themeColor="text1"/>
          <w:sz w:val="28"/>
          <w:szCs w:val="28"/>
        </w:rPr>
      </w:pPr>
      <w:r w:rsidRPr="006E065B">
        <w:rPr>
          <w:rFonts w:eastAsiaTheme="minorEastAsia"/>
          <w:color w:val="000000" w:themeColor="text1"/>
          <w:sz w:val="28"/>
          <w:szCs w:val="28"/>
        </w:rPr>
        <w:t>Ведутся работы по укладке новой трубы. Задействовано – 4 человека. Готовность – 67%.</w:t>
      </w:r>
    </w:p>
    <w:p w:rsidR="006E065B" w:rsidRPr="006E065B" w:rsidRDefault="006E065B" w:rsidP="006E065B">
      <w:pPr>
        <w:pStyle w:val="a7"/>
        <w:widowControl w:val="0"/>
        <w:spacing w:line="360" w:lineRule="auto"/>
        <w:ind w:left="709"/>
        <w:jc w:val="both"/>
        <w:rPr>
          <w:rFonts w:eastAsiaTheme="minorEastAsia"/>
          <w:color w:val="000000" w:themeColor="text1"/>
          <w:sz w:val="28"/>
          <w:szCs w:val="28"/>
        </w:rPr>
      </w:pPr>
      <w:r w:rsidRPr="006E065B">
        <w:rPr>
          <w:rFonts w:eastAsiaTheme="minorEastAsia"/>
          <w:color w:val="000000" w:themeColor="text1"/>
          <w:sz w:val="28"/>
          <w:szCs w:val="28"/>
        </w:rPr>
        <w:t xml:space="preserve">8. Канализационная насосная станция «Машзавод» </w:t>
      </w:r>
    </w:p>
    <w:p w:rsidR="006E065B" w:rsidRPr="006E065B" w:rsidRDefault="006E065B" w:rsidP="006E065B">
      <w:pPr>
        <w:pStyle w:val="a7"/>
        <w:widowControl w:val="0"/>
        <w:spacing w:line="360" w:lineRule="auto"/>
        <w:ind w:firstLine="709"/>
        <w:jc w:val="both"/>
        <w:rPr>
          <w:rFonts w:eastAsiaTheme="minorEastAsia"/>
          <w:color w:val="000000" w:themeColor="text1"/>
          <w:sz w:val="28"/>
          <w:szCs w:val="28"/>
        </w:rPr>
      </w:pPr>
      <w:r w:rsidRPr="006E065B">
        <w:rPr>
          <w:rFonts w:eastAsiaTheme="minorEastAsia"/>
          <w:color w:val="000000" w:themeColor="text1"/>
          <w:sz w:val="28"/>
          <w:szCs w:val="28"/>
        </w:rPr>
        <w:t>Ведутся общестроительные работы. Ведется монтаж системы вентиляции. Завершены работы по обустройству площадок для монтажа оборудования. Установлены грузоподъемные механизмы. Начаты работы по монтажу насосных установок и электрической части управления. Задействовано – 4 человека. Готовность – 63%.</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9. Водонасосная станция 1 подъема </w:t>
      </w:r>
      <w:proofErr w:type="gramStart"/>
      <w:r w:rsidRPr="006E065B">
        <w:rPr>
          <w:rFonts w:ascii="Times New Roman" w:eastAsiaTheme="minorEastAsia" w:hAnsi="Times New Roman" w:cs="Times New Roman"/>
          <w:color w:val="000000" w:themeColor="text1"/>
          <w:sz w:val="28"/>
          <w:szCs w:val="28"/>
          <w:lang w:eastAsia="ru-RU"/>
        </w:rPr>
        <w:t>г</w:t>
      </w:r>
      <w:proofErr w:type="gramEnd"/>
      <w:r w:rsidRPr="006E065B">
        <w:rPr>
          <w:rFonts w:ascii="Times New Roman" w:eastAsiaTheme="minorEastAsia" w:hAnsi="Times New Roman" w:cs="Times New Roman"/>
          <w:color w:val="000000" w:themeColor="text1"/>
          <w:sz w:val="28"/>
          <w:szCs w:val="28"/>
          <w:lang w:eastAsia="ru-RU"/>
        </w:rPr>
        <w:t xml:space="preserve">. Миусинск, Трасса Красно-Таловка-Донецк 138-й километр.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 xml:space="preserve">Завершаются общестроительные работы и обустройство площадок для монтажа оборудования. Установка грузоподъемных механизмов, приступают к монтажу электрической части. Насосное оборудование на объекте. </w:t>
      </w:r>
      <w:r w:rsidRPr="006E065B">
        <w:rPr>
          <w:rFonts w:ascii="Times New Roman" w:eastAsiaTheme="minorEastAsia" w:hAnsi="Times New Roman" w:cs="Times New Roman"/>
          <w:color w:val="000000" w:themeColor="text1"/>
          <w:sz w:val="28"/>
          <w:szCs w:val="28"/>
          <w:lang w:eastAsia="ru-RU"/>
        </w:rPr>
        <w:lastRenderedPageBreak/>
        <w:t>Задействовано – 4 человека</w:t>
      </w:r>
      <w:proofErr w:type="gramStart"/>
      <w:r w:rsidRPr="006E065B">
        <w:rPr>
          <w:rFonts w:ascii="Times New Roman" w:eastAsiaTheme="minorEastAsia" w:hAnsi="Times New Roman" w:cs="Times New Roman"/>
          <w:color w:val="000000" w:themeColor="text1"/>
          <w:sz w:val="28"/>
          <w:szCs w:val="28"/>
          <w:lang w:eastAsia="ru-RU"/>
        </w:rPr>
        <w:t>.Г</w:t>
      </w:r>
      <w:proofErr w:type="gramEnd"/>
      <w:r w:rsidRPr="006E065B">
        <w:rPr>
          <w:rFonts w:ascii="Times New Roman" w:eastAsiaTheme="minorEastAsia" w:hAnsi="Times New Roman" w:cs="Times New Roman"/>
          <w:color w:val="000000" w:themeColor="text1"/>
          <w:sz w:val="28"/>
          <w:szCs w:val="28"/>
          <w:lang w:eastAsia="ru-RU"/>
        </w:rPr>
        <w:t>отовность объекта – 50 %.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10. Модульная газовая котельная в ГОУ ЛНР "Краснолучская школа № 9".</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Произведены общестроительные работы, осуществлен монтаж газопровода, установка опорных стоек и заливка фундаментов. Завершаются  работы по утеплению и закрытию теплотрассы. Подготовка к монтажу газовой установки. Задействовано – 4 человека. Готовность объекта – 90 %.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11. ЦРП-1 (замена электрооборудования), ул. Коняевская, д. 35а. Производятся подготовительные работы для установки оборудования. Задействовано – 4человека. Готовность – 45%.</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12. ЦРП-2 (замена электрооборудования), ул. Ковпака, д. 90а. Производятся подготовительные работы для установки оборудования. Задействовано – 4человека. Готовность – 25 %.</w:t>
      </w:r>
    </w:p>
    <w:p w:rsidR="006E065B" w:rsidRPr="006E065B" w:rsidRDefault="006E065B" w:rsidP="006E065B">
      <w:pPr>
        <w:widowControl w:val="0"/>
        <w:ind w:firstLine="709"/>
        <w:jc w:val="both"/>
        <w:rPr>
          <w:rFonts w:ascii="Times New Roman" w:eastAsiaTheme="minorEastAsia" w:hAnsi="Times New Roman" w:cs="Times New Roman"/>
          <w:color w:val="000000" w:themeColor="text1"/>
          <w:sz w:val="28"/>
          <w:szCs w:val="28"/>
          <w:lang w:eastAsia="ru-RU"/>
        </w:rPr>
      </w:pPr>
      <w:r w:rsidRPr="006E065B">
        <w:rPr>
          <w:rFonts w:ascii="Times New Roman" w:eastAsiaTheme="minorEastAsia" w:hAnsi="Times New Roman" w:cs="Times New Roman"/>
          <w:color w:val="000000" w:themeColor="text1"/>
          <w:sz w:val="28"/>
          <w:szCs w:val="28"/>
          <w:lang w:eastAsia="ru-RU"/>
        </w:rPr>
        <w:t>13. ЦРП-4 (замена электрооборудования), микрорайон 3,д. 10г. Производятся подготовительные работы для установки оборудования. Задействовано – 4человека. Готовность – 10 %.</w:t>
      </w:r>
    </w:p>
    <w:p w:rsidR="00BE2087" w:rsidRPr="006E065B" w:rsidRDefault="006E065B" w:rsidP="006E065B">
      <w:pPr>
        <w:tabs>
          <w:tab w:val="left" w:pos="1464"/>
          <w:tab w:val="center" w:pos="4819"/>
        </w:tabs>
        <w:jc w:val="left"/>
        <w:rPr>
          <w:rFonts w:ascii="Times New Roman" w:eastAsiaTheme="minorEastAsia" w:hAnsi="Times New Roman" w:cs="Times New Roman"/>
          <w:color w:val="000000" w:themeColor="text1"/>
          <w:sz w:val="24"/>
          <w:szCs w:val="24"/>
          <w:lang w:eastAsia="ru-RU"/>
        </w:rPr>
      </w:pPr>
      <w:r w:rsidRPr="006E065B">
        <w:rPr>
          <w:rFonts w:ascii="Times New Roman" w:eastAsiaTheme="minorEastAsia" w:hAnsi="Times New Roman" w:cs="Times New Roman"/>
          <w:color w:val="000000" w:themeColor="text1"/>
          <w:sz w:val="24"/>
          <w:szCs w:val="24"/>
          <w:lang w:eastAsia="ru-RU"/>
        </w:rPr>
        <w:tab/>
      </w:r>
      <w:r w:rsidRPr="006E065B">
        <w:rPr>
          <w:rFonts w:ascii="Times New Roman" w:eastAsiaTheme="minorEastAsia" w:hAnsi="Times New Roman" w:cs="Times New Roman"/>
          <w:color w:val="000000" w:themeColor="text1"/>
          <w:sz w:val="24"/>
          <w:szCs w:val="24"/>
          <w:lang w:eastAsia="ru-RU"/>
        </w:rPr>
        <w:tab/>
      </w:r>
      <w:r w:rsidRPr="006E065B">
        <w:rPr>
          <w:rFonts w:ascii="Times New Roman" w:eastAsiaTheme="minorEastAsia" w:hAnsi="Times New Roman" w:cs="Times New Roman"/>
          <w:color w:val="000000" w:themeColor="text1"/>
          <w:sz w:val="24"/>
          <w:szCs w:val="24"/>
          <w:lang w:eastAsia="ru-RU"/>
        </w:rPr>
        <w:tab/>
      </w:r>
    </w:p>
    <w:sectPr w:rsidR="00BE2087" w:rsidRPr="006E065B" w:rsidSect="006E065B">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44C"/>
    <w:rsid w:val="0008019A"/>
    <w:rsid w:val="000D1192"/>
    <w:rsid w:val="000D7B2D"/>
    <w:rsid w:val="000F6D1B"/>
    <w:rsid w:val="001B0AA6"/>
    <w:rsid w:val="00255448"/>
    <w:rsid w:val="0027668B"/>
    <w:rsid w:val="002E2B0C"/>
    <w:rsid w:val="00324CE2"/>
    <w:rsid w:val="00454D88"/>
    <w:rsid w:val="00477753"/>
    <w:rsid w:val="0060029A"/>
    <w:rsid w:val="00655BA2"/>
    <w:rsid w:val="006C7031"/>
    <w:rsid w:val="006E065B"/>
    <w:rsid w:val="00775026"/>
    <w:rsid w:val="007758AE"/>
    <w:rsid w:val="00790260"/>
    <w:rsid w:val="007C15AA"/>
    <w:rsid w:val="008D744C"/>
    <w:rsid w:val="009306C1"/>
    <w:rsid w:val="0094627A"/>
    <w:rsid w:val="00AC374B"/>
    <w:rsid w:val="00B23F25"/>
    <w:rsid w:val="00B339C0"/>
    <w:rsid w:val="00B361E6"/>
    <w:rsid w:val="00BE2087"/>
    <w:rsid w:val="00C02A3E"/>
    <w:rsid w:val="00C3614C"/>
    <w:rsid w:val="00C556CF"/>
    <w:rsid w:val="00D22E82"/>
    <w:rsid w:val="00D45654"/>
    <w:rsid w:val="00D5209D"/>
    <w:rsid w:val="00DB1DB9"/>
    <w:rsid w:val="00E4587A"/>
    <w:rsid w:val="00E76B21"/>
    <w:rsid w:val="00E97C3D"/>
    <w:rsid w:val="00F22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44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448"/>
    <w:rPr>
      <w:rFonts w:ascii="Tahoma" w:hAnsi="Tahoma" w:cs="Tahoma"/>
      <w:sz w:val="16"/>
      <w:szCs w:val="16"/>
    </w:rPr>
  </w:style>
  <w:style w:type="paragraph" w:customStyle="1" w:styleId="ConsPlusNormal">
    <w:name w:val="ConsPlusNormal"/>
    <w:rsid w:val="00BE2087"/>
    <w:pPr>
      <w:widowControl w:val="0"/>
      <w:autoSpaceDE w:val="0"/>
      <w:autoSpaceDN w:val="0"/>
      <w:spacing w:line="240" w:lineRule="auto"/>
      <w:jc w:val="left"/>
    </w:pPr>
    <w:rPr>
      <w:rFonts w:ascii="Calibri" w:eastAsiaTheme="minorEastAsia" w:hAnsi="Calibri" w:cs="Calibri"/>
      <w:lang w:eastAsia="ru-RU"/>
    </w:rPr>
  </w:style>
  <w:style w:type="table" w:styleId="a5">
    <w:name w:val="Table Grid"/>
    <w:basedOn w:val="a1"/>
    <w:uiPriority w:val="99"/>
    <w:rsid w:val="00BE208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uiPriority w:val="99"/>
    <w:locked/>
    <w:rsid w:val="006E065B"/>
    <w:rPr>
      <w:sz w:val="27"/>
      <w:shd w:val="clear" w:color="auto" w:fill="FFFFFF"/>
    </w:rPr>
  </w:style>
  <w:style w:type="paragraph" w:customStyle="1" w:styleId="50">
    <w:name w:val="Основной текст (5)"/>
    <w:basedOn w:val="a"/>
    <w:link w:val="5"/>
    <w:uiPriority w:val="99"/>
    <w:rsid w:val="006E065B"/>
    <w:pPr>
      <w:shd w:val="clear" w:color="auto" w:fill="FFFFFF"/>
      <w:spacing w:line="240" w:lineRule="atLeast"/>
      <w:jc w:val="left"/>
    </w:pPr>
    <w:rPr>
      <w:sz w:val="27"/>
    </w:rPr>
  </w:style>
  <w:style w:type="paragraph" w:styleId="a6">
    <w:name w:val="List Paragraph"/>
    <w:basedOn w:val="a"/>
    <w:uiPriority w:val="99"/>
    <w:qFormat/>
    <w:rsid w:val="006E065B"/>
    <w:pPr>
      <w:spacing w:after="200" w:line="276" w:lineRule="auto"/>
      <w:ind w:left="720"/>
      <w:jc w:val="left"/>
    </w:pPr>
    <w:rPr>
      <w:rFonts w:ascii="Calibri" w:eastAsia="Times New Roman" w:hAnsi="Calibri" w:cs="Calibri"/>
    </w:rPr>
  </w:style>
  <w:style w:type="paragraph" w:styleId="a7">
    <w:name w:val="No Spacing"/>
    <w:aliases w:val="12 Без отступа"/>
    <w:uiPriority w:val="1"/>
    <w:qFormat/>
    <w:rsid w:val="006E065B"/>
    <w:pPr>
      <w:spacing w:line="240" w:lineRule="auto"/>
      <w:jc w:val="left"/>
    </w:pPr>
    <w:rPr>
      <w:rFonts w:ascii="Times New Roman" w:eastAsia="Calibri" w:hAnsi="Times New Roman" w:cs="Times New Roman"/>
      <w:sz w:val="24"/>
      <w:szCs w:val="24"/>
      <w:lang w:eastAsia="ru-RU"/>
    </w:rPr>
  </w:style>
  <w:style w:type="character" w:customStyle="1" w:styleId="apple-style-span">
    <w:name w:val="apple-style-span"/>
    <w:basedOn w:val="a0"/>
    <w:rsid w:val="006E0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174C-EB1E-4842-ABC1-7503EC7F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user01</cp:lastModifiedBy>
  <cp:revision>7</cp:revision>
  <cp:lastPrinted>2023-12-29T13:09:00Z</cp:lastPrinted>
  <dcterms:created xsi:type="dcterms:W3CDTF">2024-01-15T09:59:00Z</dcterms:created>
  <dcterms:modified xsi:type="dcterms:W3CDTF">2024-01-15T10:14:00Z</dcterms:modified>
</cp:coreProperties>
</file>