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BB" w:rsidRDefault="00F869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3BB" w:rsidRDefault="00F869F3">
      <w:pPr>
        <w:keepNext/>
        <w:spacing w:after="0" w:line="240" w:lineRule="auto"/>
        <w:jc w:val="center"/>
        <w:outlineLvl w:val="6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8F53BB" w:rsidRDefault="00F869F3">
      <w:pPr>
        <w:keepNext/>
        <w:spacing w:after="0" w:line="240" w:lineRule="auto"/>
        <w:jc w:val="center"/>
        <w:outlineLvl w:val="6"/>
        <w:rPr>
          <w:color w:val="000000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8F53BB" w:rsidRDefault="00F869F3">
      <w:pPr>
        <w:keepNext/>
        <w:spacing w:before="240" w:after="60" w:line="240" w:lineRule="auto"/>
        <w:jc w:val="center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8F53BB" w:rsidRDefault="008F53B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</w:pPr>
    </w:p>
    <w:p w:rsidR="008F53BB" w:rsidRDefault="008F53BB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2"/>
        <w:gridCol w:w="549"/>
        <w:gridCol w:w="1649"/>
      </w:tblGrid>
      <w:tr w:rsidR="008F53BB">
        <w:trPr>
          <w:cantSplit/>
          <w:jc w:val="center"/>
        </w:trPr>
        <w:tc>
          <w:tcPr>
            <w:tcW w:w="468" w:type="dxa"/>
          </w:tcPr>
          <w:p w:rsidR="008F53BB" w:rsidRDefault="008F53B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1" w:type="dxa"/>
          </w:tcPr>
          <w:p w:rsidR="008F53BB" w:rsidRDefault="00F869F3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«30» января 2025 г.</w:t>
            </w:r>
          </w:p>
        </w:tc>
        <w:tc>
          <w:tcPr>
            <w:tcW w:w="549" w:type="dxa"/>
          </w:tcPr>
          <w:p w:rsidR="008F53BB" w:rsidRDefault="00F869F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49" w:type="dxa"/>
          </w:tcPr>
          <w:p w:rsidR="008F53BB" w:rsidRDefault="00F869F3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П-54/25</w:t>
            </w:r>
          </w:p>
        </w:tc>
      </w:tr>
    </w:tbl>
    <w:p w:rsidR="008F53BB" w:rsidRDefault="00F869F3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г. Красный Луч</w:t>
      </w:r>
    </w:p>
    <w:p w:rsidR="008F53BB" w:rsidRDefault="008F53B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8F53BB" w:rsidRDefault="008F53B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8F53BB" w:rsidRDefault="008F53B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8F53BB" w:rsidRDefault="00F86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</w:t>
      </w:r>
      <w:r>
        <w:rPr>
          <w:rFonts w:ascii="Times New Roman" w:hAnsi="Times New Roman" w:cs="Times New Roman"/>
          <w:b/>
          <w:sz w:val="28"/>
          <w:szCs w:val="28"/>
        </w:rPr>
        <w:t>округа муниципальное образование городской округ город Красный Луч Луганской Народной Республики от 06</w:t>
      </w:r>
      <w:r>
        <w:rPr>
          <w:rFonts w:ascii="Times New Roman" w:eastAsia="Calibri" w:hAnsi="Times New Roman" w:cs="Times New Roman"/>
          <w:b/>
          <w:sz w:val="28"/>
          <w:szCs w:val="28"/>
        </w:rPr>
        <w:t>.09.2024 № П-313/24</w:t>
      </w:r>
    </w:p>
    <w:p w:rsidR="008F53BB" w:rsidRDefault="008F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53BB" w:rsidRDefault="008F5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3BB" w:rsidRDefault="00F869F3">
      <w:pPr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С целью внесения изменений в схему размещения нестационарных торговых объектов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городской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круг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>, 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28.12.2009 № 381-ФЗ «Об основах государ</w:t>
      </w:r>
      <w:r>
        <w:rPr>
          <w:rFonts w:ascii="Times New Roman" w:hAnsi="Times New Roman"/>
          <w:sz w:val="28"/>
          <w:szCs w:val="28"/>
        </w:rPr>
        <w:t>ственного регулирования торговой деятельности в Российской Федерации», Законом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Луганской Народной Республики от 23.05.2024  № 71-I «О государственном регулировании торговой деятельности на территории Луганской Народной Республики», Приказом Министерства пр</w:t>
      </w:r>
      <w:r>
        <w:rPr>
          <w:rFonts w:ascii="Times New Roman" w:hAnsi="Times New Roman"/>
          <w:sz w:val="28"/>
          <w:szCs w:val="28"/>
        </w:rPr>
        <w:t xml:space="preserve">омышленности и торговли Луганской Народной Республики от 11.07.2024  № 784 «Об утверждении Порядка разработки и утверждения схем размещения нестационарных торговых объектов на территории муниципальных образований Луганской Народной Республики», Положением </w:t>
      </w:r>
      <w:r>
        <w:rPr>
          <w:rFonts w:ascii="Times New Roman" w:hAnsi="Times New Roman"/>
          <w:sz w:val="28"/>
          <w:szCs w:val="28"/>
        </w:rPr>
        <w:t>об Администрации городского округа муниципальное образование городской округ город Красный Луч Луганской Народной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утвержденным решением Совета городского округа муниципальное образование городской округ город Красный Луч Луганской Народной Респ</w:t>
      </w:r>
      <w:r>
        <w:rPr>
          <w:rFonts w:ascii="Times New Roman" w:hAnsi="Times New Roman"/>
          <w:sz w:val="28"/>
          <w:szCs w:val="28"/>
        </w:rPr>
        <w:t>ублики от 08.11.2023 № 2 (с изменениями), с учетом протоколов от 27.12.2024 № 6, от 14.01.2025 № 1, от 29.01.2025 № 2 заседания рабочей группы по рассмотрению вопросов размещения нестационарных торговых объектов на земельных участках, находящихся в государ</w:t>
      </w:r>
      <w:r>
        <w:rPr>
          <w:rFonts w:ascii="Times New Roman" w:hAnsi="Times New Roman"/>
          <w:sz w:val="28"/>
          <w:szCs w:val="28"/>
        </w:rPr>
        <w:t>ственной или муниципальной собственности на территории муниципального образования городской округ город Красный Луч</w:t>
      </w:r>
      <w:proofErr w:type="gramEnd"/>
      <w:r>
        <w:rPr>
          <w:rFonts w:ascii="Times New Roman" w:hAnsi="Times New Roman"/>
          <w:sz w:val="28"/>
          <w:szCs w:val="28"/>
        </w:rPr>
        <w:t xml:space="preserve"> Луганской Народной Республики, </w:t>
      </w:r>
      <w:r>
        <w:rPr>
          <w:rFonts w:ascii="Times New Roman" w:hAnsi="Times New Roman"/>
          <w:sz w:val="28"/>
          <w:szCs w:val="28"/>
        </w:rPr>
        <w:lastRenderedPageBreak/>
        <w:t>Администрация городского округа муниципальное образование городской округ город Красный Луч Луганской Народно</w:t>
      </w:r>
      <w:r>
        <w:rPr>
          <w:rFonts w:ascii="Times New Roman" w:hAnsi="Times New Roman"/>
          <w:sz w:val="28"/>
          <w:szCs w:val="28"/>
        </w:rPr>
        <w:t>й Республики</w:t>
      </w:r>
    </w:p>
    <w:p w:rsidR="008F53BB" w:rsidRDefault="008F53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F53BB" w:rsidRDefault="008F53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F53BB" w:rsidRDefault="00F869F3">
      <w:pPr>
        <w:spacing w:after="0" w:line="240" w:lineRule="auto"/>
        <w:ind w:firstLine="567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F53BB" w:rsidRDefault="008F5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3BB" w:rsidRDefault="008F5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3BB" w:rsidRDefault="00F869F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Внести изменения в Постановление Администрации городского округа муниципальное образование городской округ город Красный Луч Луганской Народной Республики от 06.09.2024 № П-313/24 «Об утверждении Схемы размещения нестацион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арных торговых объектов 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городской округ город Красный Луч Луганской Народной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>», изложив Приложение  в новой редакции (прилагается).</w:t>
      </w:r>
    </w:p>
    <w:p w:rsidR="008F53BB" w:rsidRDefault="00F869F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 Опубликовать настоящее постановление </w:t>
      </w:r>
      <w:r>
        <w:rPr>
          <w:rStyle w:val="a5"/>
          <w:rFonts w:ascii="Times New Roman" w:eastAsia="MS Mincho" w:hAnsi="Times New Roman" w:cs="Times New Roman"/>
          <w:color w:val="000000"/>
          <w:sz w:val="28"/>
          <w:szCs w:val="28"/>
          <w:u w:val="none"/>
        </w:rPr>
        <w:t>в информационно – телекоммуникаци</w:t>
      </w:r>
      <w:r>
        <w:rPr>
          <w:rStyle w:val="a5"/>
          <w:rFonts w:ascii="Times New Roman" w:eastAsia="MS Mincho" w:hAnsi="Times New Roman" w:cs="Times New Roman"/>
          <w:color w:val="000000"/>
          <w:sz w:val="28"/>
          <w:szCs w:val="28"/>
          <w:u w:val="none"/>
        </w:rPr>
        <w:t>онной сети «Интернет» в сетевом издании «Луганский информационный центр» и разместить на официальном сайте Администрации города городского округа муниципальное образование городской округ город Красный Луч Луганской Народной Республики в информационно-теле</w:t>
      </w:r>
      <w:r>
        <w:rPr>
          <w:rStyle w:val="a5"/>
          <w:rFonts w:ascii="Times New Roman" w:eastAsia="MS Mincho" w:hAnsi="Times New Roman" w:cs="Times New Roman"/>
          <w:color w:val="000000"/>
          <w:sz w:val="28"/>
          <w:szCs w:val="28"/>
          <w:u w:val="none"/>
        </w:rPr>
        <w:t>коммуникационной сети «Интернет» (</w:t>
      </w:r>
      <w:hyperlink r:id="rId5">
        <w:r>
          <w:rPr>
            <w:rStyle w:val="a5"/>
            <w:rFonts w:ascii="Times New Roman" w:eastAsia="MS Mincho" w:hAnsi="Times New Roman" w:cs="Times New Roman"/>
            <w:color w:val="000000"/>
            <w:sz w:val="28"/>
            <w:szCs w:val="28"/>
            <w:u w:val="none"/>
          </w:rPr>
          <w:t>https://krasnyluch.su/</w:t>
        </w:r>
      </w:hyperlink>
      <w:r>
        <w:rPr>
          <w:rStyle w:val="a5"/>
          <w:rFonts w:ascii="Times New Roman" w:eastAsia="MS Mincho" w:hAnsi="Times New Roman" w:cs="Times New Roman"/>
          <w:color w:val="000000"/>
          <w:sz w:val="28"/>
          <w:szCs w:val="28"/>
          <w:u w:val="none"/>
        </w:rPr>
        <w:t>).</w:t>
      </w:r>
    </w:p>
    <w:p w:rsidR="008F53BB" w:rsidRDefault="00F869F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 Контроль за исполнением настоящего постановления возложить на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ервого заместителя главы Администрации городского округа муниципальное образование городск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округ город Красный Луч Луганской Народной Республики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Лямцеву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О.Ю.</w:t>
      </w:r>
    </w:p>
    <w:p w:rsidR="008F53BB" w:rsidRDefault="008F5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3BB" w:rsidRDefault="008F53B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3BB" w:rsidRDefault="008F53B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3BB" w:rsidRDefault="00F869F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8F53BB" w:rsidRDefault="00F869F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8F53BB" w:rsidRDefault="00F869F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8F53BB" w:rsidRDefault="00F869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С.В. Соловьев</w:t>
      </w:r>
    </w:p>
    <w:p w:rsidR="008F53BB" w:rsidRDefault="008F53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9F3" w:rsidRDefault="00F869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9F3" w:rsidRDefault="00F869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9F3" w:rsidRDefault="00F869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9F3" w:rsidRDefault="00F869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9F3" w:rsidRDefault="00F869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9F3" w:rsidRDefault="00F869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9F3" w:rsidRDefault="00F869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3BB" w:rsidRDefault="008F53BB" w:rsidP="00F869F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69F3" w:rsidRDefault="00F869F3" w:rsidP="00F869F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69F3" w:rsidRDefault="00F869F3" w:rsidP="00F869F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69F3" w:rsidRDefault="00F869F3" w:rsidP="00F869F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69F3" w:rsidRDefault="00F869F3" w:rsidP="00F869F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F869F3" w:rsidSect="008F53BB">
          <w:pgSz w:w="11906" w:h="16838"/>
          <w:pgMar w:top="567" w:right="567" w:bottom="1134" w:left="1701" w:header="0" w:footer="0" w:gutter="0"/>
          <w:pgNumType w:start="1"/>
          <w:cols w:space="720"/>
          <w:formProt w:val="0"/>
          <w:docGrid w:linePitch="299" w:charSpace="8192"/>
        </w:sectPr>
      </w:pPr>
    </w:p>
    <w:p w:rsidR="00F869F3" w:rsidRDefault="00F869F3" w:rsidP="00F869F3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69F3" w:rsidRDefault="00F869F3" w:rsidP="00F869F3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F869F3" w:rsidRDefault="00F869F3" w:rsidP="00F869F3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869F3" w:rsidRDefault="00F869F3" w:rsidP="00F869F3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F869F3" w:rsidRDefault="00F869F3" w:rsidP="00F869F3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869F3" w:rsidRDefault="00F869F3" w:rsidP="00F869F3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</w:t>
      </w:r>
    </w:p>
    <w:p w:rsidR="00F869F3" w:rsidRDefault="00F869F3" w:rsidP="00F869F3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Красный Луч</w:t>
      </w:r>
    </w:p>
    <w:p w:rsidR="00F869F3" w:rsidRDefault="00F869F3" w:rsidP="00F869F3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F869F3" w:rsidRDefault="00F869F3" w:rsidP="00F869F3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</w:p>
    <w:p w:rsidR="00F869F3" w:rsidRDefault="00F869F3" w:rsidP="00F869F3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января 2025 г. № П-54/25</w:t>
      </w:r>
    </w:p>
    <w:p w:rsidR="00F869F3" w:rsidRDefault="00F869F3" w:rsidP="00F869F3">
      <w:pPr>
        <w:tabs>
          <w:tab w:val="left" w:pos="91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9F3" w:rsidRDefault="00F869F3" w:rsidP="00F86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9F3" w:rsidRDefault="00F869F3" w:rsidP="00F869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F869F3" w:rsidRDefault="00F869F3" w:rsidP="00F86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 на земельных участках, находящихся в муниципальной собственности, на территории муниципального образования городской округ город Красный Луч Луганской Народной Республики</w:t>
      </w:r>
    </w:p>
    <w:p w:rsidR="00F869F3" w:rsidRDefault="00F869F3" w:rsidP="00F86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9F3" w:rsidRDefault="00F869F3" w:rsidP="00F86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9F3" w:rsidRDefault="00F869F3" w:rsidP="00F86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30 января 2025 г.</w:t>
      </w:r>
    </w:p>
    <w:p w:rsidR="00F869F3" w:rsidRDefault="00F869F3" w:rsidP="00F86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3575" w:type="dxa"/>
        <w:tblInd w:w="113" w:type="dxa"/>
        <w:tblLayout w:type="fixed"/>
        <w:tblLook w:val="04A0"/>
      </w:tblPr>
      <w:tblGrid>
        <w:gridCol w:w="618"/>
        <w:gridCol w:w="3333"/>
        <w:gridCol w:w="1971"/>
        <w:gridCol w:w="2408"/>
        <w:gridCol w:w="2836"/>
        <w:gridCol w:w="2409"/>
      </w:tblGrid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 земельного участка,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Красногвардейская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№2)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23.03.2017 -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22.03.2022</w:t>
            </w:r>
          </w:p>
          <w:p w:rsidR="00F869F3" w:rsidRDefault="00F869F3" w:rsidP="00C03E1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2 (район дома 18б)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23.03.2017 -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22.03.2022</w:t>
            </w:r>
          </w:p>
          <w:p w:rsidR="00F869F3" w:rsidRDefault="00F869F3" w:rsidP="00C03E1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4 (район дома №10)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23.03.2017 -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22.03.2022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3 (район магазина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23.03.2017 -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22.03.2022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район дома №34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кондитерскими изделиями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03.02.2018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02.02.2023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8)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Правды (район дома №45)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№2)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Пархоменко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бытовых услуг (ремонт обуви)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14.06.2018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13.06.2023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Пахоли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№2)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03.09.2018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02.09.2023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автостанции)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01.10.2018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9F3" w:rsidRDefault="00F869F3" w:rsidP="00F869F3">
      <w:r>
        <w:br w:type="page"/>
      </w:r>
    </w:p>
    <w:tbl>
      <w:tblPr>
        <w:tblStyle w:val="af0"/>
        <w:tblW w:w="13575" w:type="dxa"/>
        <w:tblInd w:w="113" w:type="dxa"/>
        <w:tblLayout w:type="fixed"/>
        <w:tblLook w:val="04A0"/>
      </w:tblPr>
      <w:tblGrid>
        <w:gridCol w:w="618"/>
        <w:gridCol w:w="3333"/>
        <w:gridCol w:w="1971"/>
        <w:gridCol w:w="2408"/>
        <w:gridCol w:w="2836"/>
        <w:gridCol w:w="2409"/>
      </w:tblGrid>
      <w:tr w:rsidR="00F869F3" w:rsidTr="00C03E15">
        <w:tc>
          <w:tcPr>
            <w:tcW w:w="617" w:type="dxa"/>
          </w:tcPr>
          <w:p w:rsidR="00F869F3" w:rsidRDefault="00F869F3" w:rsidP="00C03E15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автостанции)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часов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01.10.2018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пос. Запорожье, ул. Ленина (район дома №2)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10.10.2018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09.10.2023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перекресток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ул. Интернациональная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 и подсобное помещение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19.10.2018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18.10.2023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Вахрушево, кв. Белинского (район дома №1)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22.11.2018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20.11.2023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Хмельницкого (район дома №73)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27.11.2018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26.11.2023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Вахрушево, ул. Мира (район дома №2)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28.11.2018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27.11.2023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Вахрушево,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больницы)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21.12.2018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20.12.2023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3 (район магазина "Хозяйственные товары")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бытовых услуг (ремонт обуви)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07.03.2019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06.03.2024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Вахрушево, ул. Суворова (район дома №19)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12.03.2019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11.03.2024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К. Маркса (район дома №17)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3, ул. Вольного (район дома №41)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завода "Красный Луч")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пивом, напитков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05.05.2024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рынка)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17.05.2019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16.05.2024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Вольного (район магазина "Универсам")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27.05.2019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26.05.2024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Петровское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Щорса (район дома №2)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05.06.2019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04.06.2024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Архангельская (район дома №9)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продуты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11.06.2019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10.06.2024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Петровское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Крупской в районе рынка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04.09.2019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03.09.2024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Челюскинцев (район автобусной остановки)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напитками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04.09.2019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03.09.2024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2 (район дома №4)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напитками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12.09.2019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11.09.2024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Антрацитовское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дома №37)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напитками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24.10.2019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23.10.2024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Вахрушево, ул. Калинина (район дома №40)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против размещения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мясом, продукты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31.10.2019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30.10.2024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Вольного (район дома №15)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часов и ювелирных изделий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31.10.2019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30.10.2024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перекресток ул. Стаханова и ул. Герцена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13.11.2019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12.11.2024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Вахрушево, ул. Мира (район дома №8)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 и подсобное помещение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10.12.2019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09.12.2024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№48)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30.12.2019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29.12.2024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(между домами №31 и №51)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напитками, пивом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08.01.2020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07.01.2025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перекресток ул. Попова и ул. Бульварная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09.01.2020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08.01.2025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Вахрушево, ул. Калинина (район дома №40)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28.01.2020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27.01.2025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Ткаченко 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промышленная группа товаров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05.02.2020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04.02.2025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перекресток ул. Пожарского и ул. Попова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06.02.2020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05.02.2025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9F3" w:rsidRDefault="00F869F3" w:rsidP="00F869F3">
      <w:r>
        <w:br w:type="page"/>
      </w:r>
    </w:p>
    <w:tbl>
      <w:tblPr>
        <w:tblStyle w:val="af0"/>
        <w:tblW w:w="13575" w:type="dxa"/>
        <w:tblInd w:w="113" w:type="dxa"/>
        <w:tblLayout w:type="fixed"/>
        <w:tblLook w:val="04A0"/>
      </w:tblPr>
      <w:tblGrid>
        <w:gridCol w:w="618"/>
        <w:gridCol w:w="3333"/>
        <w:gridCol w:w="1971"/>
        <w:gridCol w:w="2408"/>
        <w:gridCol w:w="2836"/>
        <w:gridCol w:w="2409"/>
      </w:tblGrid>
      <w:tr w:rsidR="00F869F3" w:rsidTr="00C03E15">
        <w:tc>
          <w:tcPr>
            <w:tcW w:w="617" w:type="dxa"/>
          </w:tcPr>
          <w:p w:rsidR="00F869F3" w:rsidRDefault="00F869F3" w:rsidP="00C03E15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Вахрушево, ул. Свердлова (район дома 52)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04.03.2020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03.03.2025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Челюскинцев (район здания №37)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торговые киоски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06.03.2020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05.03.2025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мастерских горного техникума)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29.09.2025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№2)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06.11.2020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05.11.2025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47)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06.11.2020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05.11.2025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Антрацитовское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напитками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11.11.2020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10.11.2025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3 (район дома №40)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бытовые услуги (швейная мастерская)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13.11.2020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12.11.2025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Долгая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№43)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24.11.2025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№19)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09.12.2020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02.12.2025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Петровское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ул. Крупской)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9F3" w:rsidRDefault="00F869F3" w:rsidP="00F869F3">
      <w:r>
        <w:br w:type="page"/>
      </w:r>
    </w:p>
    <w:tbl>
      <w:tblPr>
        <w:tblStyle w:val="af0"/>
        <w:tblW w:w="13575" w:type="dxa"/>
        <w:tblInd w:w="113" w:type="dxa"/>
        <w:tblLayout w:type="fixed"/>
        <w:tblLook w:val="04A0"/>
      </w:tblPr>
      <w:tblGrid>
        <w:gridCol w:w="618"/>
        <w:gridCol w:w="3333"/>
        <w:gridCol w:w="1971"/>
        <w:gridCol w:w="2408"/>
        <w:gridCol w:w="2836"/>
        <w:gridCol w:w="2409"/>
      </w:tblGrid>
      <w:tr w:rsidR="00F869F3" w:rsidTr="00C03E15">
        <w:tc>
          <w:tcPr>
            <w:tcW w:w="617" w:type="dxa"/>
          </w:tcPr>
          <w:p w:rsidR="00F869F3" w:rsidRDefault="00F869F3" w:rsidP="00C03E15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Петровкское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Крупской (район кафе "Шансон")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перекресток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Симферопольская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пре. Матросова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Дунаевского, район дома 1а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Шевченко (район дома №71б)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торговля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фаст-фудом</w:t>
            </w:r>
            <w:proofErr w:type="spellEnd"/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рынка 2-го микрорайона)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часов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№8)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 ул. Кирова и ул. Щорса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некапитальный торговый павильон и летней площадкой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07.06.2021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06.06.2026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Владимирская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(район дома №52)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 со складом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14.06.2021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13.06.2026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Вольного (район дома №38)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павильон, киоск и летняя площадка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(район дома №31)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27.07.2022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городской поликлиники)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17.08.2022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Лузина (район дома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31.08.2022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К. Маркса (район дома №23)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       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Миусинск,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Дзержинского (район дома №3)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Антрацитовское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школы)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г. Красный Луч,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8а)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Красный Луч,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автовокзала)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Красный Луч,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47)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Красный Луч, ул. Челюскинцев (район дома 37)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33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Красный Луч,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Хрустальское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ГОВД МВД ЛНР)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19.03.2021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18.03.2026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9F3" w:rsidRDefault="00F869F3" w:rsidP="00F869F3">
      <w:r>
        <w:br w:type="page"/>
      </w:r>
    </w:p>
    <w:tbl>
      <w:tblPr>
        <w:tblStyle w:val="af0"/>
        <w:tblW w:w="13573" w:type="dxa"/>
        <w:tblLayout w:type="fixed"/>
        <w:tblLook w:val="04A0"/>
      </w:tblPr>
      <w:tblGrid>
        <w:gridCol w:w="618"/>
        <w:gridCol w:w="3332"/>
        <w:gridCol w:w="1971"/>
        <w:gridCol w:w="2408"/>
        <w:gridCol w:w="2835"/>
        <w:gridCol w:w="2409"/>
      </w:tblGrid>
      <w:tr w:rsidR="00F869F3" w:rsidTr="00C03E15">
        <w:tc>
          <w:tcPr>
            <w:tcW w:w="617" w:type="dxa"/>
          </w:tcPr>
          <w:p w:rsidR="00F869F3" w:rsidRDefault="00F869F3" w:rsidP="00C03E15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2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32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Хрустальское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полиции МВД ЛНР)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продовольственными и непродовольственными товарами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32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Вольного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(район дома 36)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32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аптеки «Знахарь»)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Красный Луч, ул. Степана Разина (район магазина «Колосок»)</w:t>
            </w: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табачными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Красный Луч, 2-й микрорайон (район дома 19)</w:t>
            </w: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табачными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9F3" w:rsidRDefault="00F869F3" w:rsidP="00F869F3">
      <w:pPr>
        <w:pStyle w:val="a9"/>
      </w:pPr>
      <w:r>
        <w:br w:type="page"/>
      </w:r>
    </w:p>
    <w:tbl>
      <w:tblPr>
        <w:tblStyle w:val="af0"/>
        <w:tblW w:w="13573" w:type="dxa"/>
        <w:tblLayout w:type="fixed"/>
        <w:tblLook w:val="04A0"/>
      </w:tblPr>
      <w:tblGrid>
        <w:gridCol w:w="618"/>
        <w:gridCol w:w="3332"/>
        <w:gridCol w:w="1971"/>
        <w:gridCol w:w="2408"/>
        <w:gridCol w:w="2835"/>
        <w:gridCol w:w="2409"/>
      </w:tblGrid>
      <w:tr w:rsidR="00F869F3" w:rsidTr="00C03E15">
        <w:tc>
          <w:tcPr>
            <w:tcW w:w="617" w:type="dxa"/>
          </w:tcPr>
          <w:p w:rsidR="00F869F3" w:rsidRDefault="00F869F3" w:rsidP="00C03E15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2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Красный Луч, 3-й микрорайон (район магазина «Матрешка»)</w:t>
            </w: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табачными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Красный Луч,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Антрацитовское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шоссе (район магазина «Удача»)</w:t>
            </w: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табачными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Красный Луч, 1-й микрорайон (район магазина «Стекляшка»)</w:t>
            </w: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Красный Луч,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Хрустальское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шоссе (район дома 6)</w:t>
            </w: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Красный Луч, 3-й микрорайон (район магазина  «Бахус»)</w:t>
            </w: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9F3" w:rsidRDefault="00F869F3" w:rsidP="00F869F3">
      <w:pPr>
        <w:pStyle w:val="a9"/>
      </w:pPr>
      <w:r>
        <w:br w:type="page"/>
      </w:r>
    </w:p>
    <w:tbl>
      <w:tblPr>
        <w:tblStyle w:val="af0"/>
        <w:tblW w:w="13573" w:type="dxa"/>
        <w:tblLayout w:type="fixed"/>
        <w:tblLook w:val="04A0"/>
      </w:tblPr>
      <w:tblGrid>
        <w:gridCol w:w="618"/>
        <w:gridCol w:w="3332"/>
        <w:gridCol w:w="1971"/>
        <w:gridCol w:w="2408"/>
        <w:gridCol w:w="2835"/>
        <w:gridCol w:w="2409"/>
      </w:tblGrid>
      <w:tr w:rsidR="00F869F3" w:rsidTr="00C03E15">
        <w:tc>
          <w:tcPr>
            <w:tcW w:w="617" w:type="dxa"/>
          </w:tcPr>
          <w:p w:rsidR="00F869F3" w:rsidRDefault="00F869F3" w:rsidP="00C03E15">
            <w:pPr>
              <w:pageBreakBefore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2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Хрустальное,                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Волочаева</w:t>
            </w:r>
            <w:proofErr w:type="spellEnd"/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продовольственными и непродовольственными товарами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Красный Луч,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(район главпочтамта)</w:t>
            </w: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Красный Луч,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Зеньковецкая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(1-й микрорайон район дома 12)</w:t>
            </w: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Красный Луч,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Хрустальское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шоссе (район училища)</w:t>
            </w: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фотоуслуги</w:t>
            </w:r>
            <w:proofErr w:type="spellEnd"/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  <w:right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3332" w:type="dxa"/>
            <w:tcBorders>
              <w:top w:val="nil"/>
              <w:right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Луганская Народная Республика, г.о. город Красный Луч, г. Красный Луч, ул. Челюскинцев (район рынка)</w:t>
            </w:r>
            <w:proofErr w:type="gramEnd"/>
          </w:p>
        </w:tc>
        <w:tc>
          <w:tcPr>
            <w:tcW w:w="1971" w:type="dxa"/>
            <w:tcBorders>
              <w:top w:val="nil"/>
              <w:right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nil"/>
              <w:right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right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торговля продовольственными и непродовольственными товарами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Луганская Народная Республика, г.о.  город Красный Луч, г. Красный Луч, ул.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Хрустальское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шоссе (район колледжа)</w:t>
            </w:r>
            <w:proofErr w:type="gramEnd"/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реализация готовой продукции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9F3" w:rsidRDefault="00F869F3" w:rsidP="00F869F3">
      <w:pPr>
        <w:pStyle w:val="a9"/>
      </w:pPr>
      <w:r>
        <w:br w:type="page"/>
      </w:r>
    </w:p>
    <w:tbl>
      <w:tblPr>
        <w:tblStyle w:val="af0"/>
        <w:tblW w:w="13572" w:type="dxa"/>
        <w:tblLayout w:type="fixed"/>
        <w:tblLook w:val="04A0"/>
      </w:tblPr>
      <w:tblGrid>
        <w:gridCol w:w="618"/>
        <w:gridCol w:w="3332"/>
        <w:gridCol w:w="1971"/>
        <w:gridCol w:w="2407"/>
        <w:gridCol w:w="2835"/>
        <w:gridCol w:w="2409"/>
      </w:tblGrid>
      <w:tr w:rsidR="00F869F3" w:rsidTr="00C03E15">
        <w:tc>
          <w:tcPr>
            <w:tcW w:w="617" w:type="dxa"/>
          </w:tcPr>
          <w:p w:rsidR="00F869F3" w:rsidRDefault="00F869F3" w:rsidP="00C03E15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2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завода "Красный Луч")</w:t>
            </w: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пивом, напитков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г.о. город Красный Луч, г. Красный Луч,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Антрацитовское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магазина «Удача»)</w:t>
            </w:r>
            <w:proofErr w:type="gramEnd"/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табачными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 г. Красный Луч, перекресток улиц Магистральная и Шевченко (район Дома быта)</w:t>
            </w: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кондитерскими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 г.о. город Красный Луч, г. Красный Луч, ул. Магистральная (район гостиницы «Красный Луч»)</w:t>
            </w:r>
            <w:proofErr w:type="gramEnd"/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Луганская Народная Республика, г.о. город Красный Луч, г. Красный Луч, ул. Студенческая (район ресторана «Донбасс»</w:t>
            </w:r>
            <w:proofErr w:type="gramEnd"/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продовольственными и непродовольственными товарами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69F3" w:rsidRDefault="00F869F3" w:rsidP="00F869F3">
      <w:pPr>
        <w:pStyle w:val="a9"/>
      </w:pPr>
      <w:r>
        <w:br w:type="page"/>
      </w:r>
    </w:p>
    <w:tbl>
      <w:tblPr>
        <w:tblStyle w:val="af0"/>
        <w:tblW w:w="13572" w:type="dxa"/>
        <w:tblLayout w:type="fixed"/>
        <w:tblLook w:val="04A0"/>
      </w:tblPr>
      <w:tblGrid>
        <w:gridCol w:w="618"/>
        <w:gridCol w:w="3332"/>
        <w:gridCol w:w="1971"/>
        <w:gridCol w:w="2407"/>
        <w:gridCol w:w="2835"/>
        <w:gridCol w:w="2409"/>
      </w:tblGrid>
      <w:tr w:rsidR="00F869F3" w:rsidTr="00C03E15">
        <w:tc>
          <w:tcPr>
            <w:tcW w:w="617" w:type="dxa"/>
          </w:tcPr>
          <w:p w:rsidR="00F869F3" w:rsidRDefault="00F869F3" w:rsidP="00C03E15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2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869F3" w:rsidRDefault="00F869F3" w:rsidP="00C03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Луганская Народная Республика, г.о. город Красный Луч, г. Красный Луч, ул. Спортивная (район дома, напротив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Краснолучского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спортивных сооружений»)</w:t>
            </w:r>
            <w:proofErr w:type="gramEnd"/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пищевыми продуктами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Луганская Народная Республика, г.о. город Красный Луч, г. Красный Луч, ул. Студенческая</w:t>
            </w:r>
            <w:proofErr w:type="gramEnd"/>
          </w:p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1, район дома 33)</w:t>
            </w: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кондитерскими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г.о. город Красный Луч, г. Петровское, ул. Калинина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дома 33)</w:t>
            </w:r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9F3" w:rsidTr="00C03E15">
        <w:tc>
          <w:tcPr>
            <w:tcW w:w="61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32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Луганская Народная Республика, г.о. город Красный Луч, г. Красный Луч, ул. Магистральная (район магазина «Колос»)</w:t>
            </w:r>
            <w:proofErr w:type="gramEnd"/>
          </w:p>
        </w:tc>
        <w:tc>
          <w:tcPr>
            <w:tcW w:w="1971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7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2409" w:type="dxa"/>
            <w:tcBorders>
              <w:top w:val="nil"/>
            </w:tcBorders>
          </w:tcPr>
          <w:p w:rsidR="00F869F3" w:rsidRDefault="00F869F3" w:rsidP="00C03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69F3" w:rsidRDefault="00F869F3" w:rsidP="00F8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9F3" w:rsidRDefault="00F869F3" w:rsidP="00F869F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869F3" w:rsidSect="0039182C">
      <w:headerReference w:type="default" r:id="rId6"/>
      <w:headerReference w:type="first" r:id="rId7"/>
      <w:pgSz w:w="16838" w:h="11906" w:orient="landscape"/>
      <w:pgMar w:top="567" w:right="567" w:bottom="1134" w:left="1701" w:header="318" w:footer="0" w:gutter="0"/>
      <w:cols w:space="720"/>
      <w:formProt w:val="0"/>
      <w:titlePg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4936935"/>
      <w:docPartObj>
        <w:docPartGallery w:val="Page Numbers (Top of Page)"/>
        <w:docPartUnique/>
      </w:docPartObj>
    </w:sdtPr>
    <w:sdtEndPr/>
    <w:sdtContent>
      <w:p w:rsidR="0039182C" w:rsidRDefault="00F869F3">
        <w:pPr>
          <w:pStyle w:val="Head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9182C" w:rsidRDefault="00F869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82C" w:rsidRDefault="00F869F3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compat/>
  <w:rsids>
    <w:rsidRoot w:val="008F53BB"/>
    <w:rsid w:val="008F53BB"/>
    <w:rsid w:val="00F8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B6B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0CCD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66135A"/>
  </w:style>
  <w:style w:type="character" w:customStyle="1" w:styleId="a7">
    <w:name w:val="Нижний колонтитул Знак"/>
    <w:basedOn w:val="a0"/>
    <w:link w:val="Footer"/>
    <w:uiPriority w:val="99"/>
    <w:qFormat/>
    <w:rsid w:val="0066135A"/>
  </w:style>
  <w:style w:type="paragraph" w:customStyle="1" w:styleId="a8">
    <w:name w:val="Заголовок"/>
    <w:basedOn w:val="a"/>
    <w:next w:val="a9"/>
    <w:qFormat/>
    <w:rsid w:val="008F53B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8F53BB"/>
    <w:pPr>
      <w:spacing w:after="140"/>
    </w:pPr>
  </w:style>
  <w:style w:type="paragraph" w:styleId="aa">
    <w:name w:val="List"/>
    <w:basedOn w:val="a9"/>
    <w:rsid w:val="008F53B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F53B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8F53BB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8F53B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B6B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21BA8"/>
    <w:pPr>
      <w:ind w:left="720"/>
      <w:contextualSpacing/>
    </w:pPr>
  </w:style>
  <w:style w:type="paragraph" w:customStyle="1" w:styleId="ad">
    <w:name w:val="Колонтитул"/>
    <w:basedOn w:val="a"/>
    <w:qFormat/>
    <w:rsid w:val="008F53BB"/>
  </w:style>
  <w:style w:type="paragraph" w:customStyle="1" w:styleId="Header">
    <w:name w:val="Header"/>
    <w:basedOn w:val="a"/>
    <w:link w:val="a6"/>
    <w:uiPriority w:val="99"/>
    <w:unhideWhenUsed/>
    <w:rsid w:val="006613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7"/>
    <w:uiPriority w:val="99"/>
    <w:unhideWhenUsed/>
    <w:rsid w:val="006613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aption11">
    <w:name w:val="caption11"/>
    <w:basedOn w:val="a"/>
    <w:qFormat/>
    <w:rsid w:val="00F869F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e">
    <w:name w:val="Содержимое таблицы"/>
    <w:basedOn w:val="a"/>
    <w:qFormat/>
    <w:rsid w:val="00F869F3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F869F3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F86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krasnyluch.s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22</Pages>
  <Words>3352</Words>
  <Characters>19110</Characters>
  <Application>Microsoft Office Word</Application>
  <DocSecurity>0</DocSecurity>
  <Lines>159</Lines>
  <Paragraphs>44</Paragraphs>
  <ScaleCrop>false</ScaleCrop>
  <Company>RePack by SPecialiST</Company>
  <LinksUpToDate>false</LinksUpToDate>
  <CharactersWithSpaces>22418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dc:description/>
  <cp:lastModifiedBy>jkh</cp:lastModifiedBy>
  <cp:revision>29</cp:revision>
  <cp:lastPrinted>2025-01-30T11:00:00Z</cp:lastPrinted>
  <dcterms:created xsi:type="dcterms:W3CDTF">2024-11-02T07:03:00Z</dcterms:created>
  <dcterms:modified xsi:type="dcterms:W3CDTF">2025-01-31T11:04:00Z</dcterms:modified>
  <dc:language>ru-RU</dc:language>
</cp:coreProperties>
</file>