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/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1286" r="517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>
      <w:pPr>
        <w:pStyle w:val="Normal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>
      <w:pPr>
        <w:pStyle w:val="Normal"/>
        <w:widowControl w:val="false"/>
        <w:spacing w:lineRule="auto" w:line="24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tbl>
      <w:tblPr>
        <w:tblW w:w="100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380"/>
        <w:gridCol w:w="540"/>
        <w:gridCol w:w="1660"/>
      </w:tblGrid>
      <w:tr>
        <w:trPr>
          <w:cantSplit w:val="true"/>
        </w:trPr>
        <w:tc>
          <w:tcPr>
            <w:tcW w:w="46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</w:r>
          </w:p>
        </w:tc>
        <w:tc>
          <w:tcPr>
            <w:tcW w:w="7380" w:type="dxa"/>
            <w:tcBorders/>
          </w:tcPr>
          <w:p>
            <w:pPr>
              <w:pStyle w:val="Normal"/>
              <w:widowControl w:val="false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>
              <w:rPr>
                <w:rFonts w:eastAsia="Lucida Sans Unicode"/>
                <w:u w:val="single"/>
                <w:lang w:eastAsia="ru-RU"/>
              </w:rPr>
              <w:t>28</w:t>
            </w:r>
            <w:r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>»</w:t>
            </w:r>
            <w:r>
              <w:rPr>
                <w:rFonts w:eastAsia="Lucida Sans Unicode"/>
                <w:u w:val="single"/>
                <w:lang w:eastAsia="ru-RU"/>
              </w:rPr>
              <w:t xml:space="preserve"> </w:t>
            </w:r>
            <w:r>
              <w:rPr>
                <w:rFonts w:eastAsia="Lucida Sans Unicode"/>
                <w:u w:val="single"/>
                <w:lang w:eastAsia="ru-RU"/>
              </w:rPr>
              <w:t xml:space="preserve">февраля  </w:t>
            </w:r>
            <w:r>
              <w:rPr>
                <w:rFonts w:eastAsia="Lucida Sans Unicode"/>
                <w:lang w:eastAsia="ru-RU"/>
              </w:rPr>
              <w:t>202</w:t>
            </w:r>
            <w:r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П-102/25</w:t>
            </w:r>
          </w:p>
        </w:tc>
      </w:tr>
    </w:tbl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Методики </w:t>
      </w:r>
    </w:p>
    <w:p>
      <w:pPr>
        <w:pStyle w:val="ConsPlusNormal"/>
        <w:numPr>
          <w:ilvl w:val="0"/>
          <w:numId w:val="0"/>
        </w:numPr>
        <w:spacing w:lineRule="auto" w:line="240"/>
        <w:ind w:left="0" w:right="0" w:hanging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</w:pPr>
      <w:bookmarkStart w:id="0" w:name="_Hlk173936633"/>
      <w:bookmarkStart w:id="1" w:name="_Hlk180163238"/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2025 год </w:t>
      </w:r>
      <w:bookmarkEnd w:id="0"/>
      <w:bookmarkEnd w:id="1"/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lineRule="auto" w:line="276" w:before="0" w:after="0"/>
        <w:ind w:left="0" w:right="0" w:firstLine="708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В соответствии с Конституцией Российской Федерации, со статьями 14, 49, 50, 51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изменениями), Законом Луганской Народной Республики от 07.12.2023 № 22-I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 (с изменениями) и Методикой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изложенной в приложении к вышеуказанному закону, Постановлением Правительства Луганской Народной Республики от 04.10.2024 № 209/24 О некоторых вопросах, связанных с реализацией Закона Луганской Народной Республики 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найма», Постановлением Администрации городского округа муниципальное образование городской округ город Красный Луч Луганской Народной Республики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от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06 декабря 2024 года № П-503/24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 «Об установлении учетной нормы  площади  жилого помещения и нормы предоставления площади жилого 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2</w:t>
      </w:r>
    </w:p>
    <w:p>
      <w:pPr>
        <w:pStyle w:val="NormalWeb"/>
        <w:shd w:fill="FFFFFF" w:val="clear"/>
        <w:spacing w:lineRule="auto" w:line="276"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помещения для граждан проживающих на территории муниципальное образование городской округ город Красный Луч Луганской Народной Республики»,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</w:t>
      </w:r>
      <w:r>
        <w:rPr>
          <w:color w:val="000000"/>
          <w:sz w:val="28"/>
          <w:szCs w:val="28"/>
        </w:rPr>
        <w:t>и</w:t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center"/>
        <w:rPr/>
      </w:pPr>
      <w:r>
        <w:rPr/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center"/>
        <w:rPr/>
      </w:pPr>
      <w:r>
        <w:rPr/>
      </w:r>
    </w:p>
    <w:p>
      <w:pPr>
        <w:pStyle w:val="NormalWeb"/>
        <w:shd w:fill="FFFFFF" w:val="clear"/>
        <w:spacing w:before="0" w:after="0"/>
        <w:ind w:left="0" w:right="0"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/>
      </w:r>
    </w:p>
    <w:p>
      <w:pPr>
        <w:pStyle w:val="Normal"/>
        <w:spacing w:lineRule="auto" w:line="276" w:before="0" w:after="0"/>
        <w:ind w:left="0" w:right="0" w:firstLine="709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1. У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твердить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Методику 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2025 год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(Приложение)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.</w:t>
      </w:r>
    </w:p>
    <w:p>
      <w:pPr>
        <w:pStyle w:val="NormalWeb"/>
        <w:spacing w:lineRule="auto" w:line="276" w:before="0" w:after="0"/>
        <w:ind w:left="0" w:right="0" w:hanging="0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ab/>
        <w:t>2. Утвердить следующие пороговые значения для принятия решения о признании граждан малоимущими на 2025 год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.</w:t>
      </w:r>
    </w:p>
    <w:p>
      <w:pPr>
        <w:pStyle w:val="Normal"/>
        <w:spacing w:lineRule="auto" w:line="276" w:before="0" w:after="0"/>
        <w:ind w:left="0" w:right="0" w:firstLine="708"/>
        <w:jc w:val="both"/>
        <w:rPr/>
      </w:pP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</w:t>
      </w:r>
      <w:r>
        <w:rPr>
          <w:rFonts w:eastAsia="MS Mincho" w:cs="Times New Roman"/>
          <w:sz w:val="28"/>
          <w:szCs w:val="28"/>
        </w:rPr>
        <w:t xml:space="preserve">Опубликовать настоящее </w:t>
      </w:r>
      <w:r>
        <w:rPr>
          <w:rFonts w:eastAsia="MS Mincho" w:cs="Times New Roman"/>
          <w:sz w:val="28"/>
          <w:szCs w:val="28"/>
          <w:shd w:fill="auto" w:val="clear"/>
        </w:rPr>
        <w:t>постановление</w:t>
      </w:r>
      <w:r>
        <w:rPr>
          <w:rFonts w:eastAsia="MS Mincho" w:cs="Times New Roman"/>
          <w:sz w:val="28"/>
          <w:szCs w:val="28"/>
        </w:rPr>
        <w:t xml:space="preserve"> в информационно – телекоммуникационной сети «Интернет» в сетевом издании «Луганский информационный центр»</w:t>
      </w:r>
      <w:r>
        <w:rPr>
          <w:rFonts w:eastAsia="MS Mincho" w:cs="Times New Roman"/>
          <w:color w:val="FF0000"/>
          <w:sz w:val="28"/>
          <w:szCs w:val="28"/>
        </w:rPr>
        <w:t xml:space="preserve"> </w:t>
      </w:r>
      <w:r>
        <w:rPr>
          <w:rFonts w:eastAsia="MS Mincho" w:cs="Times New Roman"/>
          <w:sz w:val="28"/>
          <w:szCs w:val="28"/>
        </w:rPr>
        <w:t>и разместить на официальном сайте Администрации 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</w:t>
      </w:r>
      <w:r>
        <w:rPr>
          <w:rFonts w:eastAsia="MS Mincho" w:cs="Times New Roman"/>
          <w:color w:val="000000"/>
          <w:sz w:val="28"/>
          <w:szCs w:val="28"/>
        </w:rPr>
        <w:t xml:space="preserve"> (</w:t>
      </w:r>
      <w:hyperlink r:id="rId3">
        <w:r>
          <w:rPr>
            <w:rStyle w:val="-"/>
            <w:rFonts w:eastAsia="MS Mincho" w:cs="Times New Roman"/>
            <w:sz w:val="28"/>
            <w:szCs w:val="28"/>
          </w:rPr>
          <w:t>https://krasnyluch.su/</w:t>
        </w:r>
      </w:hyperlink>
      <w:r>
        <w:rPr>
          <w:rFonts w:eastAsia="MS Mincho" w:cs="Times New Roman"/>
          <w:color w:val="000000"/>
          <w:sz w:val="28"/>
          <w:szCs w:val="28"/>
        </w:rPr>
        <w:t>)</w:t>
      </w:r>
      <w:r>
        <w:rPr>
          <w:rFonts w:cs="Times New Roman"/>
          <w:bCs/>
          <w:sz w:val="28"/>
          <w:szCs w:val="28"/>
        </w:rPr>
        <w:t>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 w:eastAsia="ru-RU" w:bidi="ru-RU"/>
        </w:rPr>
        <w:t>4</w:t>
      </w:r>
      <w:r>
        <w:rPr>
          <w:color w:val="000000"/>
          <w:sz w:val="28"/>
          <w:szCs w:val="28"/>
          <w:lang w:val="en-US" w:eastAsia="ru-RU" w:bidi="ru-RU"/>
        </w:rPr>
        <w:t xml:space="preserve">. Настоящее </w:t>
      </w:r>
      <w:r>
        <w:rPr>
          <w:rFonts w:eastAsia="MS Mincho" w:cs="Times New Roman"/>
          <w:color w:val="000000"/>
          <w:sz w:val="28"/>
          <w:szCs w:val="28"/>
          <w:shd w:fill="auto" w:val="clear"/>
          <w:lang w:val="en-US" w:eastAsia="ru-RU" w:bidi="ru-RU"/>
        </w:rPr>
        <w:t>постановление</w:t>
      </w:r>
      <w:r>
        <w:rPr>
          <w:color w:val="000000"/>
          <w:sz w:val="28"/>
          <w:szCs w:val="28"/>
          <w:lang w:val="en-US" w:eastAsia="ru-RU" w:bidi="ru-RU"/>
        </w:rPr>
        <w:t xml:space="preserve"> вступает в силу с момента его официального опубликования.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городской округ город Красный Луч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Луганской Народной Республики</w:t>
        <w:tab/>
        <w:tab/>
        <w:tab/>
        <w:tab/>
        <w:tab/>
        <w:t xml:space="preserve">            С.В. Соловьев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ind w:left="0" w:right="-6" w:firstLine="5103"/>
        <w:rPr/>
      </w:pPr>
      <w:r>
        <w:rPr/>
        <w:t xml:space="preserve">Приложение </w:t>
      </w:r>
    </w:p>
    <w:p>
      <w:pPr>
        <w:pStyle w:val="Normal"/>
        <w:spacing w:lineRule="auto" w:line="240"/>
        <w:ind w:left="5103" w:right="0" w:hanging="0"/>
        <w:rPr/>
      </w:pPr>
      <w:r>
        <w:rPr>
          <w:color w:val="000000"/>
          <w:shd w:fill="FFFFFF" w:val="clear"/>
        </w:rPr>
        <w:t xml:space="preserve">к постановлению </w:t>
      </w:r>
      <w:r>
        <w:rPr>
          <w:color w:val="332E2D"/>
          <w:shd w:fill="FFFFFF" w:val="clear"/>
        </w:rPr>
        <w:t>Администрации</w:t>
      </w:r>
    </w:p>
    <w:p>
      <w:pPr>
        <w:pStyle w:val="Normal"/>
        <w:spacing w:lineRule="auto" w:line="240"/>
        <w:ind w:left="5103" w:right="0" w:hanging="0"/>
        <w:rPr>
          <w:color w:val="000000"/>
        </w:rPr>
      </w:pPr>
      <w:r>
        <w:rPr>
          <w:color w:val="000000"/>
        </w:rPr>
        <w:t xml:space="preserve">городского округа муниципальное образование городской округ </w:t>
      </w:r>
    </w:p>
    <w:p>
      <w:pPr>
        <w:pStyle w:val="Normal"/>
        <w:spacing w:lineRule="auto" w:line="240"/>
        <w:ind w:left="5103" w:right="0" w:hanging="0"/>
        <w:rPr/>
      </w:pPr>
      <w:r>
        <w:rPr>
          <w:color w:val="000000"/>
        </w:rPr>
        <w:t xml:space="preserve">город </w:t>
      </w:r>
      <w:r>
        <w:rPr/>
        <w:t>Красный Луч</w:t>
      </w:r>
    </w:p>
    <w:p>
      <w:pPr>
        <w:pStyle w:val="Normal"/>
        <w:spacing w:lineRule="auto" w:line="360"/>
        <w:ind w:left="5103" w:right="0" w:hanging="0"/>
        <w:rPr>
          <w:shd w:fill="FFFFFF" w:val="clear"/>
        </w:rPr>
      </w:pPr>
      <w:r>
        <w:rPr>
          <w:shd w:fill="FFFFFF" w:val="clear"/>
        </w:rPr>
        <w:t>Луганской Народной Республики</w:t>
      </w:r>
    </w:p>
    <w:p>
      <w:pPr>
        <w:pStyle w:val="Normal"/>
        <w:spacing w:lineRule="auto" w:line="360"/>
        <w:ind w:left="5103" w:right="0" w:hanging="0"/>
        <w:rPr/>
      </w:pPr>
      <w:r>
        <w:rPr>
          <w:shd w:fill="FFFFFF" w:val="clear"/>
        </w:rPr>
        <w:t xml:space="preserve"> </w:t>
      </w:r>
      <w:r>
        <w:rPr>
          <w:shd w:fill="FFFFFF" w:val="clear"/>
        </w:rPr>
        <w:t xml:space="preserve">от </w:t>
      </w:r>
      <w:r>
        <w:rPr>
          <w:color w:val="332E2D"/>
          <w:shd w:fill="FFFFFF" w:val="clear"/>
        </w:rPr>
        <w:t>«</w:t>
      </w:r>
      <w:r>
        <w:rPr>
          <w:color w:val="000000"/>
          <w:u w:val="single"/>
          <w:shd w:fill="FFFFFF" w:val="clear"/>
        </w:rPr>
        <w:t>28</w:t>
      </w:r>
      <w:r>
        <w:rPr>
          <w:color w:val="000000"/>
          <w:shd w:fill="FFFFFF" w:val="clear"/>
        </w:rPr>
        <w:t xml:space="preserve">» </w:t>
      </w:r>
      <w:r>
        <w:rPr>
          <w:color w:val="000000"/>
          <w:u w:val="single"/>
          <w:shd w:fill="FFFFFF" w:val="clear"/>
        </w:rPr>
        <w:t>февраля</w:t>
      </w:r>
      <w:r>
        <w:rPr>
          <w:color w:val="000000"/>
          <w:shd w:fill="FFFFFF" w:val="clear"/>
        </w:rPr>
        <w:t xml:space="preserve"> 202</w:t>
      </w:r>
      <w:r>
        <w:rPr>
          <w:color w:val="000000"/>
          <w:shd w:fill="FFFFFF" w:val="clear"/>
        </w:rPr>
        <w:t>5</w:t>
      </w:r>
      <w:r>
        <w:rPr>
          <w:color w:val="000000"/>
          <w:shd w:fill="FFFFFF" w:val="clear"/>
        </w:rPr>
        <w:t xml:space="preserve"> г. </w:t>
      </w:r>
      <w:r>
        <w:rPr>
          <w:rFonts w:eastAsia="Segoe UI Symbol"/>
          <w:color w:val="000000"/>
        </w:rPr>
        <w:t>№</w:t>
      </w:r>
      <w:r>
        <w:rPr>
          <w:color w:val="000000"/>
          <w:shd w:fill="FFFFFF" w:val="clear"/>
        </w:rPr>
        <w:t xml:space="preserve"> </w:t>
      </w:r>
      <w:r>
        <w:rPr>
          <w:rFonts w:eastAsia="Lucida Sans Unicode"/>
          <w:color w:val="000000"/>
          <w:u w:val="single"/>
          <w:shd w:fill="FFFFFF" w:val="clear"/>
          <w:lang w:eastAsia="ru-RU"/>
        </w:rPr>
        <w:t>П-102/25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МЕТОДИКА 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определения пороговых значений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на </w:t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2025 год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рассчитывается по формуле: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СЖ = НП × РС × РЦ, где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СЖ – расчетный показатель рыночной стоимости или порог стоимости имущества;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НП – норма предоставления жилого помещения на одного члена семьи,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огласно 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остановлению 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  <w:lang w:bidi="ru-RU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06 декабря 2024 года № П-503/24</w:t>
      </w:r>
      <w:r>
        <w:rPr>
          <w:rFonts w:ascii="Times New Roman" w:hAnsi="Times New Roman"/>
          <w:sz w:val="28"/>
          <w:szCs w:val="28"/>
          <w:lang w:bidi="ru-RU"/>
        </w:rPr>
        <w:t xml:space="preserve"> «Об установлении учетной нормы площади жилого помещения и нормы предоставления площади жилого помещения для граждан проживающих на территории 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  <w:lang w:bidi="ru-RU"/>
        </w:rPr>
        <w:t>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  <w:lang w:bidi="ru-RU"/>
        </w:rPr>
        <w:t>»;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РС – количество членов семьи; 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РЦ – средняя расчетная рыночная цена одного квадратного метра площади жилого помещения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Согласно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При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ложению к Порядку определения норматива стоимости 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средней рыночной стоимости одного квадратного метра общей площади жилого  помещения  по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муниципальному  образованию  городской округ город 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center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2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Красный Луч Луганской Народной Республики, утвержден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ному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 xml:space="preserve">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остановлени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ем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8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февраля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 xml:space="preserve"> 202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 xml:space="preserve"> года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П-101/25,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с</w:t>
      </w:r>
      <w:r>
        <w:rPr>
          <w:rFonts w:cs="Times New Roman" w:ascii="Times New Roman" w:hAnsi="Times New Roman"/>
          <w:sz w:val="28"/>
          <w:szCs w:val="28"/>
          <w:shd w:fill="FFFFFF" w:val="clear"/>
          <w:lang w:bidi="ru-RU"/>
        </w:rPr>
        <w:t>р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едняя рыночная стоимость одного квадратного метра общей площади жилого помещения составила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</w:t>
      </w:r>
      <w:r>
        <w:rPr>
          <w:rFonts w:ascii="Times New Roman" w:hAnsi="Times New Roman"/>
          <w:sz w:val="28"/>
          <w:szCs w:val="28"/>
          <w:u w:val="single"/>
          <w:lang w:bidi="ru-RU"/>
        </w:rPr>
        <w:t>30 939,00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  <w:lang w:bidi="ru-RU"/>
        </w:rPr>
        <w:t xml:space="preserve">тридцать тысяч девятьсот тридцать девять) </w:t>
      </w:r>
      <w:r>
        <w:rPr>
          <w:rFonts w:ascii="Times New Roman" w:hAnsi="Times New Roman"/>
          <w:sz w:val="28"/>
          <w:szCs w:val="28"/>
          <w:lang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1). Для одиноко проживающего человека: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eastAsia="ru-RU" w:bidi="ru-RU"/>
        </w:rPr>
        <w:t>24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742 536,00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2). На семью из двух человек: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1 082 865,00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3). На семью из трех человек: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45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1 392 255,00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4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). На семью из четырех человек: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60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1 856 340,00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). На семью из пяти человек: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75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2 320 425,00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6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). На семью из шести человек: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90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2 784 510,00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>7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). На семью из семи человек: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 w:bidi="ru-RU"/>
        </w:rPr>
        <w:tab/>
        <w:t xml:space="preserve">СЖ =  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105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  кв. м х 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>30 939,00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 xml:space="preserve"> руб. =</w:t>
      </w:r>
      <w:r>
        <w:rPr>
          <w:rFonts w:cs="Times New Roman" w:ascii="Times New Roman" w:hAnsi="Times New Roman"/>
          <w:sz w:val="28"/>
          <w:szCs w:val="28"/>
          <w:u w:val="single"/>
          <w:lang w:eastAsia="ru-RU" w:bidi="ru-RU"/>
        </w:rPr>
        <w:t xml:space="preserve"> 3 248 595,00 </w:t>
      </w:r>
      <w:r>
        <w:rPr>
          <w:rFonts w:cs="Times New Roman" w:ascii="Times New Roman" w:hAnsi="Times New Roman"/>
          <w:sz w:val="28"/>
          <w:szCs w:val="28"/>
          <w:lang w:eastAsia="ru-RU" w:bidi="ru-RU"/>
        </w:rPr>
        <w:t>руб.</w:t>
      </w:r>
    </w:p>
    <w:p>
      <w:pPr>
        <w:pStyle w:val="14"/>
        <w:spacing w:lineRule="auto" w:line="276"/>
        <w:ind w:left="0" w:righ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1" w:leader="none"/>
        </w:tabs>
        <w:spacing w:lineRule="auto" w:line="276" w:before="0" w:after="0"/>
        <w:ind w:left="143" w:right="170" w:firstLine="705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Порог стоимости имущества принимается равным расчетному показателю рыночной стоимости жилого помещения СЖ.</w:t>
      </w:r>
    </w:p>
    <w:p>
      <w:pPr>
        <w:pStyle w:val="Style22"/>
        <w:spacing w:lineRule="auto" w:line="276"/>
        <w:ind w:left="143" w:right="185"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Порог размера среднемесячного совокупного дохода, приходящегося на каждого члена семьи гражданина, определяется:</w:t>
      </w:r>
    </w:p>
    <w:p>
      <w:pPr>
        <w:pStyle w:val="Normal"/>
        <w:spacing w:lineRule="auto" w:line="276"/>
        <w:ind w:left="0"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ПД =  ( СЖ  /  ПН ) / РС  +  ПМ, где</w:t>
      </w:r>
    </w:p>
    <w:p>
      <w:pPr>
        <w:pStyle w:val="Normal"/>
        <w:spacing w:lineRule="exact" w:line="283"/>
        <w:ind w:left="0"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/>
        <w:ind w:left="0"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ПД – порог среднемесячного размера дохода, приходящегося на каждого члена семьи;</w:t>
      </w:r>
    </w:p>
    <w:p>
      <w:pPr>
        <w:pStyle w:val="ConsPlusNormal"/>
        <w:numPr>
          <w:ilvl w:val="0"/>
          <w:numId w:val="0"/>
        </w:numPr>
        <w:spacing w:lineRule="auto" w:line="276" w:before="120" w:after="0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111111"/>
          <w:sz w:val="28"/>
          <w:szCs w:val="28"/>
        </w:rPr>
        <w:t xml:space="preserve">Ж – расчетный показатель рыночной стоимости приобретения жилого помещения по норме предоставления жилого помещения по договору социального найма; 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ПН – установленный период накопления (в месяцах), который может быть   равен   среднему   времени   ожидания   в   очереди  на получение жилого </w:t>
      </w:r>
    </w:p>
    <w:p>
      <w:pPr>
        <w:pStyle w:val="ConsPlus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  <w:szCs w:val="28"/>
        </w:rPr>
        <w:t>3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  <w:szCs w:val="28"/>
        </w:rPr>
        <w:t>помещения муниципального жилищного фонда по договору социального найма - 1</w:t>
      </w:r>
      <w:r>
        <w:rPr>
          <w:rFonts w:ascii="Times New Roman" w:hAnsi="Times New Roman"/>
          <w:color w:val="111111"/>
          <w:sz w:val="28"/>
          <w:szCs w:val="28"/>
          <w:shd w:fill="auto" w:val="clear"/>
        </w:rPr>
        <w:t xml:space="preserve">80 месяцев,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</w:rPr>
        <w:t>утвержден 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остановлени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ем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8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февраля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 xml:space="preserve"> 202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>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bidi="ru-RU"/>
        </w:rPr>
        <w:t xml:space="preserve"> года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bidi="ru-RU"/>
        </w:rPr>
        <w:t>П-100/25</w:t>
      </w:r>
      <w:r>
        <w:rPr>
          <w:rFonts w:ascii="Times New Roman" w:hAnsi="Times New Roman"/>
          <w:color w:val="111111"/>
          <w:sz w:val="28"/>
          <w:szCs w:val="28"/>
        </w:rPr>
        <w:t>;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  <w:szCs w:val="28"/>
        </w:rPr>
        <w:t>РС – количество членов семьи;</w:t>
        <w:tab/>
        <w:t xml:space="preserve">                                                                                    </w:t>
        <w:tab/>
        <w:t xml:space="preserve">ПМ – среднемесячный минимальный уровень дохода на одного человека (прожиточный минимум установленный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Указом Главы Луганской Народной Республики от 15.09.2023 г. № УГ -507/23 «Об установлении на 2024 год величины прожиточного уровня на душу населения и по основным социально-демографическим группам населения Луганской Народной Республики») за 2024 год установлен в размере 14 526,00 руб. 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Коэффициент прожиточного минимума в размере 1 (единица),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/>
        </w:rPr>
        <w:t>утвержден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 w:bidi="ru-RU"/>
        </w:rPr>
        <w:t>остановлени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 w:bidi="ru-RU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 w:bidi="ru-RU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 w:bidi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 w:bidi="ru-RU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eastAsia="ru-RU" w:bidi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eastAsia="ru-RU" w:bidi="ru-RU"/>
        </w:rPr>
        <w:t>февраля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eastAsia="ru-RU" w:bidi="ru-RU"/>
        </w:rPr>
        <w:t xml:space="preserve"> 202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eastAsia="ru-RU" w:bidi="ru-RU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FFFFFF" w:val="clear"/>
          <w:lang w:eastAsia="ru-RU" w:bidi="ru-RU"/>
        </w:rPr>
        <w:t xml:space="preserve"> года 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eastAsia="ru-RU" w:bidi="ru-RU"/>
        </w:rPr>
        <w:t>П-100/25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Normal"/>
        <w:shd w:fill="FFFFFF" w:val="clear"/>
        <w:spacing w:lineRule="auto" w:line="276" w:before="0" w:after="28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ab/>
        <w:t>Учитывая все исходные данные, определяем размер порогового значения дохода, приходящегося на каждого члена семьи, в целях признания граждан малоимущими (ПД).</w:t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76" w:before="0" w:after="2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ind w:left="0" w:right="-6" w:firstLine="5103"/>
        <w:rPr/>
      </w:pPr>
      <w:r>
        <w:rPr/>
        <w:t xml:space="preserve">Приложение </w:t>
      </w:r>
    </w:p>
    <w:p>
      <w:pPr>
        <w:pStyle w:val="Normal"/>
        <w:spacing w:lineRule="auto" w:line="240"/>
        <w:ind w:left="5103" w:right="0" w:hanging="0"/>
        <w:rPr/>
      </w:pPr>
      <w:r>
        <w:rPr>
          <w:color w:val="000000"/>
          <w:shd w:fill="FFFFFF" w:val="clear"/>
        </w:rPr>
        <w:t xml:space="preserve">к </w:t>
      </w:r>
      <w:r>
        <w:rPr>
          <w:color w:val="000000"/>
          <w:shd w:fill="FFFFFF" w:val="clear"/>
        </w:rPr>
        <w:t>Методике утвержденной</w:t>
      </w:r>
    </w:p>
    <w:p>
      <w:pPr>
        <w:pStyle w:val="Normal"/>
        <w:spacing w:lineRule="auto" w:line="240"/>
        <w:ind w:left="5103" w:right="0" w:hanging="0"/>
        <w:rPr/>
      </w:pPr>
      <w:r>
        <w:rPr>
          <w:color w:val="000000"/>
          <w:shd w:fill="FFFFFF" w:val="clear"/>
        </w:rPr>
        <w:t>постановлени</w:t>
      </w:r>
      <w:r>
        <w:rPr>
          <w:color w:val="000000"/>
          <w:shd w:fill="FFFFFF" w:val="clear"/>
        </w:rPr>
        <w:t>ем</w:t>
      </w:r>
      <w:r>
        <w:rPr>
          <w:color w:val="000000"/>
          <w:shd w:fill="FFFFFF" w:val="clear"/>
        </w:rPr>
        <w:t xml:space="preserve"> Администрации</w:t>
      </w:r>
    </w:p>
    <w:p>
      <w:pPr>
        <w:pStyle w:val="Normal"/>
        <w:spacing w:lineRule="auto" w:line="240"/>
        <w:ind w:left="5103" w:right="0" w:hanging="0"/>
        <w:rPr>
          <w:color w:val="000000"/>
        </w:rPr>
      </w:pPr>
      <w:r>
        <w:rPr>
          <w:color w:val="000000"/>
        </w:rPr>
        <w:t xml:space="preserve">городского округа муниципальное образование городской округ </w:t>
      </w:r>
    </w:p>
    <w:p>
      <w:pPr>
        <w:pStyle w:val="Normal"/>
        <w:spacing w:lineRule="auto" w:line="240"/>
        <w:ind w:left="5103" w:right="0" w:hanging="0"/>
        <w:rPr/>
      </w:pPr>
      <w:r>
        <w:rPr>
          <w:color w:val="000000"/>
        </w:rPr>
        <w:t xml:space="preserve">город </w:t>
      </w:r>
      <w:r>
        <w:rPr/>
        <w:t>Красный Луч</w:t>
      </w:r>
    </w:p>
    <w:p>
      <w:pPr>
        <w:pStyle w:val="Normal"/>
        <w:spacing w:lineRule="auto" w:line="360"/>
        <w:ind w:left="5103" w:right="0" w:hanging="0"/>
        <w:rPr>
          <w:shd w:fill="FFFFFF" w:val="clear"/>
        </w:rPr>
      </w:pPr>
      <w:r>
        <w:rPr>
          <w:shd w:fill="FFFFFF" w:val="clear"/>
        </w:rPr>
        <w:t>Луганской Народной Республики</w:t>
      </w:r>
    </w:p>
    <w:p>
      <w:pPr>
        <w:pStyle w:val="Normal"/>
        <w:spacing w:lineRule="auto" w:line="360"/>
        <w:ind w:left="5103" w:right="0" w:hanging="0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от </w:t>
      </w:r>
      <w:r>
        <w:rPr>
          <w:b w:val="false"/>
          <w:bCs w:val="false"/>
          <w:color w:val="332E2D"/>
          <w:sz w:val="28"/>
          <w:szCs w:val="28"/>
          <w:shd w:fill="FFFFFF" w:val="clear"/>
        </w:rPr>
        <w:t xml:space="preserve">« </w:t>
      </w:r>
      <w:r>
        <w:rPr>
          <w:b w:val="false"/>
          <w:bCs w:val="false"/>
          <w:color w:val="000000"/>
          <w:sz w:val="28"/>
          <w:szCs w:val="28"/>
          <w:u w:val="single"/>
          <w:shd w:fill="FFFFFF" w:val="clear"/>
        </w:rPr>
        <w:t>28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b w:val="false"/>
          <w:bCs w:val="false"/>
          <w:color w:val="332E2D"/>
          <w:sz w:val="28"/>
          <w:szCs w:val="28"/>
          <w:shd w:fill="FFFFFF" w:val="clear"/>
        </w:rPr>
        <w:t xml:space="preserve">» </w:t>
      </w:r>
      <w:r>
        <w:rPr>
          <w:b w:val="false"/>
          <w:bCs w:val="false"/>
          <w:color w:val="000000"/>
          <w:sz w:val="28"/>
          <w:szCs w:val="28"/>
          <w:u w:val="single"/>
          <w:shd w:fill="FFFFFF" w:val="clear"/>
        </w:rPr>
        <w:t>февраля</w:t>
      </w:r>
      <w:r>
        <w:rPr>
          <w:b w:val="false"/>
          <w:bCs w:val="false"/>
          <w:color w:val="332E2D"/>
          <w:sz w:val="28"/>
          <w:szCs w:val="28"/>
          <w:shd w:fill="FFFFFF" w:val="clear"/>
        </w:rPr>
        <w:t xml:space="preserve"> 202</w:t>
      </w:r>
      <w:r>
        <w:rPr>
          <w:b w:val="false"/>
          <w:bCs w:val="false"/>
          <w:color w:val="332E2D"/>
          <w:sz w:val="28"/>
          <w:szCs w:val="28"/>
          <w:shd w:fill="FFFFFF" w:val="clear"/>
        </w:rPr>
        <w:t>5</w:t>
      </w:r>
      <w:r>
        <w:rPr>
          <w:b w:val="false"/>
          <w:bCs w:val="false"/>
          <w:color w:val="332E2D"/>
          <w:sz w:val="28"/>
          <w:szCs w:val="28"/>
          <w:shd w:fill="FFFFFF" w:val="clear"/>
        </w:rPr>
        <w:t xml:space="preserve"> г. </w:t>
      </w:r>
      <w:r>
        <w:rPr>
          <w:rFonts w:eastAsia="Segoe UI Symbol"/>
          <w:b w:val="false"/>
          <w:bCs w:val="false"/>
          <w:color w:val="000000"/>
          <w:sz w:val="28"/>
          <w:szCs w:val="28"/>
        </w:rPr>
        <w:t>№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Lucida Sans Unicode"/>
          <w:b w:val="false"/>
          <w:bCs w:val="false"/>
          <w:color w:val="000000"/>
          <w:sz w:val="28"/>
          <w:szCs w:val="28"/>
          <w:u w:val="single"/>
          <w:shd w:fill="FFFFFF" w:val="clear"/>
          <w:lang w:eastAsia="ru-RU"/>
        </w:rPr>
        <w:t>П-102/25</w:t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0" w:right="0" w:hanging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spacing w:lineRule="auto" w:line="240" w:before="0" w:after="22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Расчет                                                                                                                       порогового значения дохода, приходящегося на каждого члена семьи или одиноко проживающего гражданина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04"/>
        <w:gridCol w:w="855"/>
        <w:gridCol w:w="1470"/>
        <w:gridCol w:w="1082"/>
        <w:gridCol w:w="1140"/>
        <w:gridCol w:w="1304"/>
        <w:gridCol w:w="1468"/>
      </w:tblGrid>
      <w:tr>
        <w:trPr>
          <w:trHeight w:val="2655" w:hRule="atLeast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НП норма предоставления жилого помещения (кв. м)*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СЖ- рыночная стоимость приобретения жилого помещения (СЖ=НП × РС × РЦ) (руб.)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PC- количество членов семьи (чел.)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 xml:space="preserve">РЦ - рыночная цена 1 кв. м жилого </w:t>
            </w: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vertAlign w:val="subscript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помещения (руб.)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bidi="ar-SA"/>
              </w:rPr>
              <w:t>ПН  –  установленный период накопления (месяц)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ПМ — прожиточный минимум (руб.)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Д порог среднемесячного дохода на одного человека (руб.)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111111"/>
                <w:sz w:val="22"/>
                <w:szCs w:val="22"/>
                <w:u w:val="none"/>
                <w:em w:val="none"/>
                <w:lang w:bidi="ar-SA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111111"/>
                <w:sz w:val="22"/>
                <w:szCs w:val="22"/>
                <w:u w:val="none"/>
                <w:em w:val="none"/>
              </w:rPr>
              <w:t>Д порог среднемесячного дохода на семью (руб.)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111111"/>
                <w:sz w:val="22"/>
                <w:szCs w:val="22"/>
              </w:rPr>
            </w:pPr>
            <w:r>
              <w:rPr>
                <w:rFonts w:ascii="Times New Roman" w:hAnsi="Times New Roman"/>
                <w:color w:val="111111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724 536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18 651,20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18 651,20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1 082 865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17 533,96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35 067,92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1 392 255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17 104,25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51 312,75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1 856 340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17 104,25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68 417,00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2 320 425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17 104,25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85 521,25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2 784 510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30 9393,00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17 104,25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102 625,50</w:t>
            </w:r>
          </w:p>
        </w:tc>
      </w:tr>
      <w:tr>
        <w:trPr>
          <w:trHeight w:val="20" w:hRule="atLeast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105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3 248 595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bidi="ar-SA"/>
              </w:rPr>
              <w:t>30 939,00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bidi="ar-SA"/>
              </w:rPr>
              <w:t>14 526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17 104,25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119 729,75</w:t>
            </w:r>
          </w:p>
        </w:tc>
      </w:tr>
    </w:tbl>
    <w:p>
      <w:pPr>
        <w:pStyle w:val="ConsPlusNormal"/>
        <w:numPr>
          <w:ilvl w:val="0"/>
          <w:numId w:val="0"/>
        </w:numPr>
        <w:spacing w:lineRule="auto" w:line="276" w:before="120" w:after="120"/>
        <w:ind w:left="0" w:right="0" w:hanging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38" w:leader="none"/>
        </w:tabs>
        <w:bidi w:val="0"/>
        <w:spacing w:lineRule="auto" w:line="276" w:before="0" w:after="0"/>
        <w:ind w:left="0" w:right="170" w:hanging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sectPr>
      <w:type w:val="nextPage"/>
      <w:pgSz w:w="11906" w:h="16838"/>
      <w:pgMar w:left="1701" w:right="567" w:gutter="0" w:header="0" w:top="567" w:footer="0" w:bottom="1134"/>
      <w:pgNumType w:start="1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1">
    <w:name w:val="Heading 1"/>
    <w:basedOn w:val="Normal"/>
    <w:link w:val="11"/>
    <w:qFormat/>
    <w:pPr>
      <w:numPr>
        <w:ilvl w:val="0"/>
        <w:numId w:val="0"/>
      </w:numPr>
      <w:spacing w:before="280" w:after="280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Style13">
    <w:name w:val="Текст выноски Знак"/>
    <w:basedOn w:val="DefaultParagraphFont"/>
    <w:link w:val="BalloonText"/>
    <w:qFormat/>
    <w:rPr>
      <w:rFonts w:ascii="Tahoma" w:hAnsi="Tahoma" w:eastAsia="Calibri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eastAsia="Times New Roman"/>
      <w:b/>
      <w:bCs/>
      <w:kern w:val="2"/>
      <w:sz w:val="48"/>
      <w:szCs w:val="48"/>
      <w:lang w:eastAsia="ru-RU"/>
    </w:rPr>
  </w:style>
  <w:style w:type="character" w:styleId="Style14">
    <w:name w:val="Основной текст Знак"/>
    <w:basedOn w:val="DefaultParagraphFont"/>
    <w:qFormat/>
    <w:rPr>
      <w:rFonts w:ascii="Calibri" w:hAnsi="Calibri" w:eastAsia="Times New Roman"/>
      <w:sz w:val="22"/>
      <w:szCs w:val="22"/>
      <w:lang w:eastAsia="ru-RU"/>
    </w:rPr>
  </w:style>
  <w:style w:type="character" w:styleId="Style15">
    <w:name w:val="Название Знак"/>
    <w:basedOn w:val="DefaultParagraphFont"/>
    <w:qFormat/>
    <w:rPr>
      <w:rFonts w:eastAsia="Times New Roman"/>
      <w:b/>
      <w:bCs/>
      <w:sz w:val="32"/>
      <w:szCs w:val="20"/>
      <w:lang w:eastAsia="ru-RU"/>
    </w:rPr>
  </w:style>
  <w:style w:type="character" w:styleId="Style16">
    <w:name w:val="Текст примечания Знак"/>
    <w:basedOn w:val="DefaultParagraphFont"/>
    <w:link w:val="Annotationtext"/>
    <w:qFormat/>
    <w:rPr>
      <w:rFonts w:eastAsia="Calibri"/>
      <w:sz w:val="20"/>
      <w:szCs w:val="20"/>
    </w:rPr>
  </w:style>
  <w:style w:type="character" w:styleId="Style17">
    <w:name w:val="Тема примечания Знак"/>
    <w:basedOn w:val="Style16"/>
    <w:link w:val="Annotationsubject"/>
    <w:qFormat/>
    <w:rPr>
      <w:rFonts w:eastAsia="Calibri"/>
      <w:b/>
      <w:bCs/>
      <w:sz w:val="20"/>
      <w:szCs w:val="20"/>
    </w:rPr>
  </w:style>
  <w:style w:type="character" w:styleId="Style18">
    <w:name w:val="Верх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Style19">
    <w:name w:val="Ниж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12">
    <w:name w:val="Верхний колонтитул Знак1"/>
    <w:basedOn w:val="DefaultParagraphFont"/>
    <w:qFormat/>
    <w:rPr>
      <w:sz w:val="28"/>
      <w:szCs w:val="28"/>
      <w:lang w:eastAsia="en-US"/>
    </w:rPr>
  </w:style>
  <w:style w:type="character" w:styleId="13">
    <w:name w:val="Нижний колонтитул Знак1"/>
    <w:basedOn w:val="DefaultParagraphFont"/>
    <w:qFormat/>
    <w:rPr>
      <w:sz w:val="28"/>
      <w:szCs w:val="28"/>
      <w:lang w:eastAsia="en-US"/>
    </w:rPr>
  </w:style>
  <w:style w:type="character" w:styleId="Style20">
    <w:name w:val="Гипертекстовая ссылка"/>
    <w:basedOn w:val="DefaultParagraphFont"/>
    <w:qFormat/>
    <w:rPr>
      <w:color w:val="106BB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22">
    <w:name w:val="Body Text"/>
    <w:basedOn w:val="Normal"/>
    <w:link w:val="Style14"/>
    <w:pPr>
      <w:spacing w:lineRule="auto" w:line="276" w:before="0" w:after="120"/>
    </w:pPr>
    <w:rPr>
      <w:rFonts w:ascii="Calibri" w:hAnsi="Calibri" w:eastAsia="Times New Roman"/>
      <w:sz w:val="22"/>
      <w:szCs w:val="22"/>
      <w:lang w:eastAsia="ru-RU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6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qFormat/>
    <w:pPr/>
    <w:rPr>
      <w:b/>
      <w:bCs/>
    </w:rPr>
  </w:style>
  <w:style w:type="paragraph" w:styleId="Style26">
    <w:name w:val="Title"/>
    <w:basedOn w:val="Normal"/>
    <w:link w:val="Style15"/>
    <w:qFormat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1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1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Основной текст1"/>
    <w:basedOn w:val="Normal"/>
    <w:qFormat/>
    <w:pPr>
      <w:spacing w:before="0" w:after="200"/>
      <w:ind w:left="0" w:right="0" w:firstLine="400"/>
    </w:pPr>
    <w:rPr>
      <w:rFonts w:ascii="Arial" w:hAnsi="Arial" w:eastAsia="Arial" w:cs="Arial"/>
      <w:color w:val="auto"/>
      <w:kern w:val="2"/>
      <w:sz w:val="20"/>
      <w:szCs w:val="20"/>
      <w:lang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rasnyluch.s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Application>LibreOffice/7.5.2.1$Linux_X86_64 LibreOffice_project/50$Build-1</Application>
  <AppVersion>15.0000</AppVersion>
  <Pages>6</Pages>
  <Words>1213</Words>
  <Characters>7543</Characters>
  <CharactersWithSpaces>8947</CharactersWithSpaces>
  <Paragraphs>147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2024-03-25T14:27:00Z</dcterms:created>
  <dc:creator>user</dc:creator>
  <dc:description/>
  <dc:language>ru-RU</dc:language>
  <cp:lastModifiedBy/>
  <cp:lastPrinted>2025-02-28T15:20:50Z</cp:lastPrinted>
  <dcterms:modified xsi:type="dcterms:W3CDTF">2025-03-03T09:51:11Z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