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AE" w:rsidRDefault="009C424E">
      <w:pPr>
        <w:widowControl w:val="0"/>
        <w:ind w:right="-284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BAE" w:rsidRDefault="009C424E">
      <w:pPr>
        <w:widowControl w:val="0"/>
        <w:jc w:val="center"/>
        <w:rPr>
          <w:color w:val="000000"/>
        </w:rPr>
      </w:pPr>
      <w:r>
        <w:rPr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557BAE" w:rsidRDefault="00557BAE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BAE" w:rsidRDefault="009C424E">
      <w:pPr>
        <w:pStyle w:val="ConsPlusTitle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557BAE" w:rsidRDefault="00557BAE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557BAE" w:rsidRDefault="00557BAE">
      <w:pPr>
        <w:jc w:val="center"/>
        <w:rPr>
          <w:rFonts w:eastAsia="Calibri"/>
          <w:b/>
          <w:color w:val="000000"/>
          <w:sz w:val="32"/>
          <w:szCs w:val="32"/>
        </w:rPr>
      </w:pPr>
    </w:p>
    <w:p w:rsidR="00557BAE" w:rsidRDefault="009C424E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«28</w:t>
      </w:r>
      <w:r>
        <w:rPr>
          <w:rFonts w:eastAsia="Calibri"/>
          <w:color w:val="000000"/>
          <w:sz w:val="28"/>
          <w:szCs w:val="28"/>
        </w:rPr>
        <w:t>» января 2025 года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           № П-49/25</w:t>
      </w:r>
    </w:p>
    <w:p w:rsidR="00557BAE" w:rsidRDefault="009C424E">
      <w:pPr>
        <w:jc w:val="center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г. Красный Луч</w:t>
      </w:r>
    </w:p>
    <w:p w:rsidR="00557BAE" w:rsidRDefault="00557BAE">
      <w:pPr>
        <w:jc w:val="center"/>
        <w:rPr>
          <w:rFonts w:eastAsia="Calibri"/>
          <w:color w:val="000000"/>
          <w:sz w:val="28"/>
          <w:szCs w:val="28"/>
        </w:rPr>
      </w:pPr>
    </w:p>
    <w:p w:rsidR="00557BAE" w:rsidRDefault="00557BAE">
      <w:pPr>
        <w:jc w:val="center"/>
        <w:rPr>
          <w:rFonts w:eastAsia="Calibri"/>
          <w:sz w:val="28"/>
          <w:szCs w:val="28"/>
        </w:rPr>
      </w:pPr>
    </w:p>
    <w:p w:rsidR="00557BAE" w:rsidRDefault="00557BAE">
      <w:pPr>
        <w:jc w:val="center"/>
        <w:rPr>
          <w:rFonts w:eastAsia="Calibri"/>
          <w:sz w:val="28"/>
          <w:szCs w:val="28"/>
        </w:rPr>
      </w:pPr>
    </w:p>
    <w:p w:rsidR="00557BAE" w:rsidRDefault="009C424E">
      <w:pPr>
        <w:pStyle w:val="Heading1"/>
        <w:spacing w:line="276" w:lineRule="auto"/>
      </w:pPr>
      <w:r>
        <w:t xml:space="preserve">О проведении полной инвентаризации сведений </w:t>
      </w:r>
    </w:p>
    <w:p w:rsidR="00557BAE" w:rsidRDefault="009C424E">
      <w:pPr>
        <w:pStyle w:val="Heading1"/>
        <w:spacing w:line="276" w:lineRule="auto"/>
      </w:pPr>
      <w:r>
        <w:t xml:space="preserve">об адресах объектов адресации, расположенных </w:t>
      </w:r>
    </w:p>
    <w:p w:rsidR="00557BAE" w:rsidRDefault="009C424E">
      <w:pPr>
        <w:pStyle w:val="Heading1"/>
        <w:spacing w:line="276" w:lineRule="auto"/>
      </w:pPr>
      <w:r>
        <w:t>на территории муниципального образования городской округ город Красный Луч Луганской Народной Республики в 2025 году</w:t>
      </w:r>
    </w:p>
    <w:p w:rsidR="00557BAE" w:rsidRDefault="00557BAE">
      <w:pPr>
        <w:spacing w:line="360" w:lineRule="auto"/>
        <w:ind w:firstLine="709"/>
        <w:jc w:val="both"/>
        <w:rPr>
          <w:sz w:val="28"/>
          <w:szCs w:val="28"/>
        </w:rPr>
      </w:pPr>
    </w:p>
    <w:p w:rsidR="00557BAE" w:rsidRDefault="00557BAE">
      <w:pPr>
        <w:spacing w:line="360" w:lineRule="auto"/>
        <w:ind w:firstLine="709"/>
        <w:jc w:val="both"/>
        <w:rPr>
          <w:sz w:val="28"/>
          <w:szCs w:val="28"/>
        </w:rPr>
      </w:pPr>
    </w:p>
    <w:p w:rsidR="00557BAE" w:rsidRDefault="009C42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60263">
        <w:rPr>
          <w:sz w:val="28"/>
          <w:szCs w:val="28"/>
        </w:rPr>
        <w:t xml:space="preserve"> </w:t>
      </w:r>
      <w:hyperlink r:id="rId9">
        <w:r>
          <w:rPr>
            <w:sz w:val="28"/>
            <w:szCs w:val="28"/>
          </w:rPr>
          <w:t>Федеральным</w:t>
        </w:r>
        <w:r w:rsidR="00F6026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законом</w:t>
        </w:r>
      </w:hyperlink>
      <w:r w:rsidR="00F60263">
        <w:t xml:space="preserve"> </w:t>
      </w:r>
      <w:r>
        <w:rPr>
          <w:sz w:val="28"/>
          <w:szCs w:val="28"/>
        </w:rPr>
        <w:t>от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№131-ФЗ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F60263">
        <w:rPr>
          <w:sz w:val="28"/>
          <w:szCs w:val="28"/>
        </w:rPr>
        <w:t xml:space="preserve"> п</w:t>
      </w:r>
      <w:r>
        <w:rPr>
          <w:sz w:val="28"/>
          <w:szCs w:val="28"/>
        </w:rPr>
        <w:t>ринципах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</w:t>
      </w:r>
      <w:hyperlink r:id="rId10">
        <w:r>
          <w:rPr>
            <w:sz w:val="28"/>
            <w:szCs w:val="28"/>
          </w:rPr>
          <w:t>Федеральным за</w:t>
        </w:r>
        <w:r>
          <w:rPr>
            <w:sz w:val="28"/>
            <w:szCs w:val="28"/>
          </w:rPr>
          <w:t>коном</w:t>
        </w:r>
      </w:hyperlink>
      <w:r>
        <w:rPr>
          <w:sz w:val="28"/>
          <w:szCs w:val="28"/>
        </w:rPr>
        <w:t xml:space="preserve"> от 28.12.2013 № 443-ФЗ «О федеральной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адресной системе и о внесении изменений в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Федерации», Правилами присвоения, изменения и аннулирования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адресов,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="00F60263">
        <w:rPr>
          <w:sz w:val="28"/>
          <w:szCs w:val="28"/>
        </w:rPr>
        <w:t xml:space="preserve"> </w:t>
      </w:r>
      <w:hyperlink r:id="rId11">
        <w:r>
          <w:rPr>
            <w:sz w:val="28"/>
            <w:szCs w:val="28"/>
          </w:rPr>
          <w:t>постановлением</w:t>
        </w:r>
      </w:hyperlink>
      <w:r w:rsidR="00F60263">
        <w:t xml:space="preserve"> </w:t>
      </w:r>
      <w:r>
        <w:rPr>
          <w:sz w:val="28"/>
          <w:szCs w:val="28"/>
        </w:rPr>
        <w:t>Правительства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19.11.2014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№1221, Законом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Луганской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.03.2023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№432-III «О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местном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самоуправлении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Луганской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Народной</w:t>
      </w:r>
      <w:r w:rsidR="00F6026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Республике», Положен</w:t>
      </w:r>
      <w:r>
        <w:rPr>
          <w:sz w:val="28"/>
          <w:szCs w:val="28"/>
        </w:rPr>
        <w:t>ием об Администрации городского округа муниципальное образование городской округ город Красный Луч Луганской Народной Республики, утвержденным  решением Совета городского округа муниципальное образование городской округ город Красный Луч Луганской Народной</w:t>
      </w:r>
      <w:r>
        <w:rPr>
          <w:sz w:val="28"/>
          <w:szCs w:val="28"/>
        </w:rPr>
        <w:t xml:space="preserve"> Республики от </w:t>
      </w:r>
      <w:r w:rsidR="00F60263">
        <w:rPr>
          <w:sz w:val="28"/>
          <w:szCs w:val="28"/>
        </w:rPr>
        <w:t>08.11.2023 № 2 (с изменениями),</w:t>
      </w:r>
      <w:r>
        <w:rPr>
          <w:sz w:val="28"/>
          <w:szCs w:val="28"/>
        </w:rPr>
        <w:t xml:space="preserve"> в целях проведения проверки достоверности, полноты и актуальности сведений об адресах объектов адресации, содержащихся в Государственном адресном реестре, а </w:t>
      </w:r>
      <w:r>
        <w:rPr>
          <w:sz w:val="28"/>
          <w:szCs w:val="28"/>
        </w:rPr>
        <w:lastRenderedPageBreak/>
        <w:t xml:space="preserve">также наполнения сведениями об адресах федеральную </w:t>
      </w:r>
      <w:r>
        <w:rPr>
          <w:sz w:val="28"/>
          <w:szCs w:val="28"/>
        </w:rPr>
        <w:t>информационную адресную систему,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557BAE" w:rsidRDefault="00557BAE">
      <w:pPr>
        <w:ind w:firstLine="709"/>
        <w:jc w:val="both"/>
        <w:rPr>
          <w:sz w:val="28"/>
          <w:szCs w:val="28"/>
        </w:rPr>
      </w:pPr>
    </w:p>
    <w:p w:rsidR="00557BAE" w:rsidRDefault="00557BAE">
      <w:pPr>
        <w:ind w:firstLine="709"/>
        <w:jc w:val="both"/>
        <w:rPr>
          <w:sz w:val="28"/>
          <w:szCs w:val="28"/>
        </w:rPr>
      </w:pPr>
    </w:p>
    <w:p w:rsidR="00557BAE" w:rsidRDefault="009C424E">
      <w:pPr>
        <w:pStyle w:val="aa"/>
        <w:spacing w:before="1" w:line="360" w:lineRule="auto"/>
        <w:ind w:left="220"/>
        <w:jc w:val="center"/>
        <w:rPr>
          <w:b/>
        </w:rPr>
      </w:pPr>
      <w:r>
        <w:rPr>
          <w:b/>
        </w:rPr>
        <w:t>ПОСТАНОВЛЯЕТ:</w:t>
      </w:r>
    </w:p>
    <w:p w:rsidR="00557BAE" w:rsidRDefault="00557BAE">
      <w:pPr>
        <w:pStyle w:val="aa"/>
        <w:spacing w:before="1"/>
        <w:ind w:left="220"/>
        <w:jc w:val="center"/>
        <w:rPr>
          <w:b/>
        </w:rPr>
      </w:pPr>
    </w:p>
    <w:p w:rsidR="00557BAE" w:rsidRDefault="00557BAE">
      <w:pPr>
        <w:pStyle w:val="aa"/>
        <w:spacing w:before="1"/>
        <w:ind w:left="220"/>
        <w:jc w:val="center"/>
        <w:rPr>
          <w:b/>
        </w:rPr>
      </w:pPr>
    </w:p>
    <w:p w:rsidR="00557BAE" w:rsidRDefault="009C424E">
      <w:pPr>
        <w:pStyle w:val="af"/>
        <w:widowControl w:val="0"/>
        <w:numPr>
          <w:ilvl w:val="0"/>
          <w:numId w:val="1"/>
        </w:numPr>
        <w:tabs>
          <w:tab w:val="left" w:pos="124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полную инвентаризацию сведений об адресах объектов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ресации, </w:t>
      </w:r>
      <w:r>
        <w:rPr>
          <w:rFonts w:ascii="Times New Roman" w:hAnsi="Times New Roman"/>
          <w:sz w:val="28"/>
        </w:rPr>
        <w:t>расположенных на территории муниципального образования 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ской округ город Красный Луч Луганской Народной Республики в срок до 10.12.2025.</w:t>
      </w:r>
    </w:p>
    <w:p w:rsidR="00557BAE" w:rsidRDefault="009C424E">
      <w:pPr>
        <w:pStyle w:val="af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проведения полной инвентаризации адресных объектов, расположенных </w:t>
      </w:r>
      <w:r>
        <w:rPr>
          <w:rFonts w:ascii="Times New Roman" w:hAnsi="Times New Roman"/>
          <w:sz w:val="28"/>
        </w:rPr>
        <w:t>на территории муниципального обр</w:t>
      </w:r>
      <w:r>
        <w:rPr>
          <w:rFonts w:ascii="Times New Roman" w:hAnsi="Times New Roman"/>
          <w:sz w:val="28"/>
        </w:rPr>
        <w:t>азования горо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ской округ город Красный Луч Луганской Народной Республики в 2025 году, </w:t>
      </w:r>
      <w:r>
        <w:rPr>
          <w:rFonts w:ascii="Times New Roman" w:hAnsi="Times New Roman"/>
          <w:sz w:val="28"/>
          <w:szCs w:val="28"/>
        </w:rPr>
        <w:t xml:space="preserve">согласно приложению (прилагается). </w:t>
      </w:r>
    </w:p>
    <w:p w:rsidR="00557BAE" w:rsidRDefault="009C424E">
      <w:pPr>
        <w:pStyle w:val="af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строительства и архитектуры управления строительства,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хитектуры, земельных отношений Администрации городского округа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льное образование городской округ город Красный Луч Луганской Народной Республики:</w:t>
      </w:r>
    </w:p>
    <w:p w:rsidR="00557BAE" w:rsidRDefault="009C424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 Проверить достоверность, полноту и актуальность содержащихся в государственном адресном реестре сведений об адресах и при необходимости внести изменения в указанные св</w:t>
      </w:r>
      <w:r>
        <w:rPr>
          <w:sz w:val="28"/>
          <w:szCs w:val="28"/>
        </w:rPr>
        <w:t>едения в сроки,  установленные в Приложении №1 настоящего Постановления.</w:t>
      </w:r>
    </w:p>
    <w:p w:rsidR="00557BAE" w:rsidRDefault="009C424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  <w:t xml:space="preserve">В срок до 15.12.2025 направить в Управление Федеральной налоговой службы по Луганской Народной Республике официальное письмо о завершении инвентаризации. </w:t>
      </w:r>
    </w:p>
    <w:p w:rsidR="00557BAE" w:rsidRDefault="009C424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Ежемесячно до 30 </w:t>
      </w:r>
      <w:r>
        <w:rPr>
          <w:sz w:val="28"/>
          <w:szCs w:val="28"/>
        </w:rPr>
        <w:t xml:space="preserve">числа предоставлять отчет в адрес Администрации Главы Луганской Народной Республики </w:t>
      </w:r>
      <w:r>
        <w:rPr>
          <w:sz w:val="28"/>
          <w:szCs w:val="28"/>
        </w:rPr>
        <w:tab/>
        <w:t xml:space="preserve">о ходе выполнения утвержденного графика проведения полной инвентаризации адресных </w:t>
      </w:r>
      <w:r>
        <w:rPr>
          <w:sz w:val="28"/>
          <w:szCs w:val="28"/>
        </w:rPr>
        <w:lastRenderedPageBreak/>
        <w:t>объектов, расположенных на территории муниципального образования городской округ город Кр</w:t>
      </w:r>
      <w:r>
        <w:rPr>
          <w:sz w:val="28"/>
          <w:szCs w:val="28"/>
        </w:rPr>
        <w:t>асный Луч Луганской Народной Республики в 2025 году.</w:t>
      </w:r>
    </w:p>
    <w:p w:rsidR="00557BAE" w:rsidRDefault="009C424E">
      <w:pPr>
        <w:pStyle w:val="af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городского округа муниципальное образование городской округ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 Красный Луч Луганской Народной Республики в информационно-телекомму</w:t>
      </w:r>
      <w:r>
        <w:rPr>
          <w:rFonts w:ascii="Times New Roman" w:hAnsi="Times New Roman"/>
          <w:sz w:val="28"/>
          <w:szCs w:val="28"/>
        </w:rPr>
        <w:t>никационной сети «Интернет»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(</w:t>
      </w:r>
      <w:hyperlink r:id="rId12">
        <w:r>
          <w:rPr>
            <w:rStyle w:val="a8"/>
            <w:rFonts w:ascii="Times New Roman" w:eastAsia="MS Mincho" w:hAnsi="Times New Roman"/>
            <w:sz w:val="28"/>
            <w:szCs w:val="28"/>
          </w:rPr>
          <w:t>https://krasnyluch.su/</w:t>
        </w:r>
      </w:hyperlink>
      <w:r>
        <w:rPr>
          <w:rFonts w:ascii="Times New Roman" w:eastAsia="MS Mincho" w:hAnsi="Times New Roman"/>
          <w:color w:val="000000"/>
          <w:sz w:val="28"/>
          <w:szCs w:val="28"/>
        </w:rPr>
        <w:t>).</w:t>
      </w:r>
    </w:p>
    <w:p w:rsidR="00557BAE" w:rsidRDefault="009C424E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</w:t>
      </w:r>
      <w:r>
        <w:rPr>
          <w:rFonts w:ascii="Times New Roman" w:hAnsi="Times New Roman"/>
          <w:sz w:val="28"/>
          <w:szCs w:val="28"/>
        </w:rPr>
        <w:t>город Красный Луч Луганской Народной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лики Лямцеву О.Ю.</w:t>
      </w:r>
    </w:p>
    <w:p w:rsidR="00557BAE" w:rsidRDefault="00557BAE">
      <w:pPr>
        <w:pStyle w:val="aa"/>
        <w:spacing w:before="1"/>
        <w:rPr>
          <w:sz w:val="26"/>
        </w:rPr>
      </w:pPr>
      <w:bookmarkStart w:id="0" w:name="_GoBack"/>
      <w:bookmarkEnd w:id="0"/>
    </w:p>
    <w:p w:rsidR="00557BAE" w:rsidRDefault="00557BAE">
      <w:pPr>
        <w:pStyle w:val="aa"/>
        <w:spacing w:before="1"/>
        <w:rPr>
          <w:sz w:val="26"/>
        </w:rPr>
      </w:pPr>
    </w:p>
    <w:p w:rsidR="00557BAE" w:rsidRDefault="00557BAE">
      <w:pPr>
        <w:pStyle w:val="aa"/>
        <w:spacing w:before="1"/>
        <w:rPr>
          <w:sz w:val="26"/>
        </w:rPr>
      </w:pPr>
    </w:p>
    <w:p w:rsidR="00557BAE" w:rsidRDefault="009C424E">
      <w:pPr>
        <w:pStyle w:val="aa"/>
        <w:spacing w:line="276" w:lineRule="auto"/>
        <w:ind w:right="4995"/>
      </w:pPr>
      <w:r>
        <w:t xml:space="preserve">Глава городского округа </w:t>
      </w:r>
    </w:p>
    <w:p w:rsidR="00557BAE" w:rsidRDefault="009C424E">
      <w:pPr>
        <w:pStyle w:val="aa"/>
        <w:spacing w:line="276" w:lineRule="auto"/>
        <w:ind w:right="4995"/>
      </w:pPr>
      <w:r>
        <w:t xml:space="preserve">муниципальное образование </w:t>
      </w:r>
    </w:p>
    <w:p w:rsidR="00557BAE" w:rsidRDefault="009C424E">
      <w:pPr>
        <w:pStyle w:val="aa"/>
        <w:spacing w:line="276" w:lineRule="auto"/>
        <w:ind w:right="47"/>
      </w:pPr>
      <w:r>
        <w:t xml:space="preserve">городской округ город Красный Луч </w:t>
      </w:r>
    </w:p>
    <w:p w:rsidR="00557BAE" w:rsidRDefault="009C424E">
      <w:pPr>
        <w:pStyle w:val="aa"/>
        <w:spacing w:line="276" w:lineRule="auto"/>
        <w:ind w:right="47"/>
      </w:pPr>
      <w:r>
        <w:t>Луганской Народной Республики</w:t>
      </w:r>
      <w:r>
        <w:tab/>
      </w:r>
      <w:r>
        <w:tab/>
      </w:r>
      <w:r>
        <w:tab/>
      </w:r>
      <w:r>
        <w:tab/>
      </w:r>
      <w:r>
        <w:tab/>
        <w:t>С.В. Соловьев</w:t>
      </w:r>
    </w:p>
    <w:p w:rsidR="00557BAE" w:rsidRDefault="00557BAE">
      <w:pPr>
        <w:suppressAutoHyphens w:val="0"/>
        <w:jc w:val="center"/>
        <w:rPr>
          <w:color w:val="000000"/>
          <w:sz w:val="24"/>
          <w:szCs w:val="24"/>
          <w:lang w:eastAsia="ru-RU"/>
        </w:rPr>
      </w:pPr>
    </w:p>
    <w:p w:rsidR="00557BAE" w:rsidRDefault="00557BAE">
      <w:pPr>
        <w:pStyle w:val="aa"/>
        <w:spacing w:line="276" w:lineRule="auto"/>
        <w:ind w:right="47"/>
      </w:pPr>
    </w:p>
    <w:p w:rsidR="00557BAE" w:rsidRDefault="009C424E">
      <w:pPr>
        <w:pStyle w:val="aa"/>
        <w:tabs>
          <w:tab w:val="left" w:pos="8104"/>
        </w:tabs>
        <w:spacing w:line="276" w:lineRule="auto"/>
        <w:ind w:right="47"/>
      </w:pPr>
      <w:r>
        <w:tab/>
      </w:r>
    </w:p>
    <w:p w:rsidR="00557BAE" w:rsidRDefault="00557BAE">
      <w:pPr>
        <w:pStyle w:val="aa"/>
        <w:spacing w:line="276" w:lineRule="auto"/>
        <w:ind w:right="47"/>
      </w:pPr>
    </w:p>
    <w:p w:rsidR="00557BAE" w:rsidRDefault="00557BAE">
      <w:pPr>
        <w:pStyle w:val="aa"/>
        <w:spacing w:line="276" w:lineRule="auto"/>
        <w:ind w:right="47"/>
      </w:pPr>
    </w:p>
    <w:p w:rsidR="00557BAE" w:rsidRDefault="009C424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>
      <w:pPr>
        <w:rPr>
          <w:sz w:val="28"/>
          <w:szCs w:val="28"/>
        </w:rPr>
      </w:pPr>
    </w:p>
    <w:p w:rsidR="00F60263" w:rsidRDefault="00F60263" w:rsidP="00F60263">
      <w:pPr>
        <w:pStyle w:val="Header"/>
        <w:tabs>
          <w:tab w:val="clear" w:pos="4677"/>
          <w:tab w:val="center" w:pos="3402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Приложение </w:t>
      </w:r>
    </w:p>
    <w:p w:rsidR="00F60263" w:rsidRDefault="00F60263" w:rsidP="00F60263">
      <w:pPr>
        <w:pStyle w:val="Header"/>
        <w:tabs>
          <w:tab w:val="clear" w:pos="4677"/>
          <w:tab w:val="center" w:pos="3402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F60263" w:rsidRDefault="00F60263" w:rsidP="00F60263">
      <w:pPr>
        <w:pStyle w:val="Header"/>
        <w:tabs>
          <w:tab w:val="clear" w:pos="4677"/>
          <w:tab w:val="center" w:pos="4395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 Администрации </w:t>
      </w:r>
    </w:p>
    <w:p w:rsidR="00F60263" w:rsidRDefault="00F60263" w:rsidP="00F60263">
      <w:pPr>
        <w:pStyle w:val="Header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округа муниципальное</w:t>
      </w:r>
    </w:p>
    <w:p w:rsidR="00F60263" w:rsidRDefault="00F60263" w:rsidP="00F60263">
      <w:pPr>
        <w:pStyle w:val="Header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образование городской округ </w:t>
      </w:r>
    </w:p>
    <w:p w:rsidR="00F60263" w:rsidRDefault="00F60263" w:rsidP="00F60263">
      <w:pPr>
        <w:pStyle w:val="Header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Красный Луч </w:t>
      </w:r>
    </w:p>
    <w:p w:rsidR="00F60263" w:rsidRDefault="00F60263" w:rsidP="00F60263">
      <w:pPr>
        <w:pStyle w:val="Header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F60263" w:rsidRDefault="00F60263" w:rsidP="00F60263">
      <w:pPr>
        <w:pStyle w:val="Header"/>
        <w:tabs>
          <w:tab w:val="left" w:pos="4962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«28» января 2025 №  П- 49/25</w:t>
      </w: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полной инвентаризации адресных объектов, </w:t>
      </w: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расположенных на территории муниципального образования городской округ город Красный Луч Луганской Народной Республики             в 2025 году</w:t>
      </w: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</w:p>
    <w:p w:rsidR="00F60263" w:rsidRDefault="00F60263" w:rsidP="00F60263">
      <w:pPr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14213" w:type="dxa"/>
        <w:tblInd w:w="113" w:type="dxa"/>
        <w:tblLayout w:type="fixed"/>
        <w:tblLook w:val="04A0"/>
      </w:tblPr>
      <w:tblGrid>
        <w:gridCol w:w="676"/>
        <w:gridCol w:w="2693"/>
        <w:gridCol w:w="2126"/>
        <w:gridCol w:w="2127"/>
        <w:gridCol w:w="1950"/>
        <w:gridCol w:w="2321"/>
        <w:gridCol w:w="2320"/>
      </w:tblGrid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Населенный  пункт подлежащий  инвентаризации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сотрудников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ответственных за исполнение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 Красный Луч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 - декабрь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 Вахрушево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 - май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 Петровское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 – Август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 Миусинск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– октябрь  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Софиевский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– ноябрь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Хрустальное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- ноябрь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Штеровка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- декабрь 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Запорожье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- декабрь 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Садово -Хрустальненский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Грушевое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Княгиневка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городского типа Федоровка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Июль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Хрустальный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Буткевич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Вергулевка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Июль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Давыдовка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Комендантский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поселок Трубный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село Артема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село Воскресеновка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село Коренное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693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село Лесное</w:t>
            </w:r>
          </w:p>
        </w:tc>
        <w:tc>
          <w:tcPr>
            <w:tcW w:w="2126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2025 года</w:t>
            </w:r>
          </w:p>
        </w:tc>
        <w:tc>
          <w:tcPr>
            <w:tcW w:w="2127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60263" w:rsidRDefault="00F60263" w:rsidP="00B74082">
            <w:pPr>
              <w:rPr>
                <w:rFonts w:ascii="Calibri" w:eastAsia="Calibri" w:hAnsi="Calibri"/>
              </w:rPr>
            </w:pPr>
          </w:p>
        </w:tc>
      </w:tr>
      <w:tr w:rsidR="00F60263" w:rsidTr="00B74082">
        <w:tc>
          <w:tcPr>
            <w:tcW w:w="675" w:type="dxa"/>
            <w:vAlign w:val="center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693" w:type="dxa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село Ново-Елизаветовка</w:t>
            </w:r>
          </w:p>
        </w:tc>
        <w:tc>
          <w:tcPr>
            <w:tcW w:w="2126" w:type="dxa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 2025 года</w:t>
            </w:r>
          </w:p>
        </w:tc>
        <w:tc>
          <w:tcPr>
            <w:tcW w:w="2127" w:type="dxa"/>
          </w:tcPr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Мулько А.Г.</w:t>
            </w:r>
          </w:p>
          <w:p w:rsidR="00F60263" w:rsidRDefault="00F60263" w:rsidP="00B7408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Кравченко А.А.</w:t>
            </w:r>
          </w:p>
        </w:tc>
        <w:tc>
          <w:tcPr>
            <w:tcW w:w="1950" w:type="dxa"/>
            <w:vAlign w:val="center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</w:tcPr>
          <w:p w:rsidR="00F60263" w:rsidRDefault="00F60263" w:rsidP="00B7408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0263" w:rsidRDefault="00F60263">
      <w:pPr>
        <w:rPr>
          <w:sz w:val="28"/>
          <w:szCs w:val="28"/>
        </w:rPr>
      </w:pPr>
    </w:p>
    <w:sectPr w:rsidR="00F60263" w:rsidSect="00557BAE">
      <w:headerReference w:type="default" r:id="rId13"/>
      <w:footerReference w:type="default" r:id="rId14"/>
      <w:headerReference w:type="first" r:id="rId15"/>
      <w:pgSz w:w="11906" w:h="16838"/>
      <w:pgMar w:top="766" w:right="566" w:bottom="851" w:left="1701" w:header="709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4E" w:rsidRDefault="009C424E" w:rsidP="00557BAE">
      <w:r>
        <w:separator/>
      </w:r>
    </w:p>
  </w:endnote>
  <w:endnote w:type="continuationSeparator" w:id="1">
    <w:p w:rsidR="009C424E" w:rsidRDefault="009C424E" w:rsidP="0055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AE" w:rsidRDefault="00557BAE">
    <w:pPr>
      <w:pStyle w:val="Footer"/>
      <w:jc w:val="center"/>
    </w:pPr>
  </w:p>
  <w:p w:rsidR="00557BAE" w:rsidRDefault="00557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4E" w:rsidRDefault="009C424E" w:rsidP="00557BAE">
      <w:r>
        <w:separator/>
      </w:r>
    </w:p>
  </w:footnote>
  <w:footnote w:type="continuationSeparator" w:id="1">
    <w:p w:rsidR="009C424E" w:rsidRDefault="009C424E" w:rsidP="00557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8554"/>
      <w:docPartObj>
        <w:docPartGallery w:val="Page Numbers (Top of Page)"/>
        <w:docPartUnique/>
      </w:docPartObj>
    </w:sdtPr>
    <w:sdtContent>
      <w:p w:rsidR="00557BAE" w:rsidRDefault="00557BAE">
        <w:pPr>
          <w:pStyle w:val="Header"/>
          <w:jc w:val="center"/>
        </w:pPr>
        <w:r>
          <w:fldChar w:fldCharType="begin"/>
        </w:r>
        <w:r w:rsidR="009C424E">
          <w:instrText xml:space="preserve"> PAGE </w:instrText>
        </w:r>
        <w:r>
          <w:fldChar w:fldCharType="separate"/>
        </w:r>
        <w:r w:rsidR="00F60263">
          <w:rPr>
            <w:noProof/>
          </w:rPr>
          <w:t>2</w:t>
        </w:r>
        <w:r>
          <w:fldChar w:fldCharType="end"/>
        </w:r>
      </w:p>
    </w:sdtContent>
  </w:sdt>
  <w:p w:rsidR="00557BAE" w:rsidRDefault="00557B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AE" w:rsidRDefault="009C424E">
    <w:pPr>
      <w:pStyle w:val="Header"/>
      <w:jc w:val="right"/>
      <w:rPr>
        <w:color w:val="FFFFFF" w:themeColor="background1"/>
        <w:sz w:val="24"/>
        <w:szCs w:val="24"/>
      </w:rPr>
    </w:pPr>
    <w:r>
      <w:rPr>
        <w:color w:val="FFFFFF" w:themeColor="background1"/>
        <w:sz w:val="24"/>
        <w:szCs w:val="24"/>
      </w:rPr>
      <w:t>«Проект»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C80"/>
    <w:multiLevelType w:val="multilevel"/>
    <w:tmpl w:val="47D40DD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31AE0F26"/>
    <w:multiLevelType w:val="multilevel"/>
    <w:tmpl w:val="C9185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BAE"/>
    <w:rsid w:val="00557BAE"/>
    <w:rsid w:val="009C424E"/>
    <w:rsid w:val="00F6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A43125"/>
    <w:pPr>
      <w:widowControl w:val="0"/>
      <w:suppressAutoHyphens w:val="0"/>
      <w:ind w:left="260" w:right="15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3">
    <w:name w:val="Верхний колонтитул Знак"/>
    <w:link w:val="Header"/>
    <w:uiPriority w:val="99"/>
    <w:qFormat/>
    <w:rsid w:val="00E514D2"/>
    <w:rPr>
      <w:lang w:eastAsia="ar-SA"/>
    </w:rPr>
  </w:style>
  <w:style w:type="character" w:customStyle="1" w:styleId="a4">
    <w:name w:val="Нижний колонтитул Знак"/>
    <w:link w:val="Footer"/>
    <w:uiPriority w:val="99"/>
    <w:qFormat/>
    <w:rsid w:val="00E514D2"/>
    <w:rPr>
      <w:lang w:eastAsia="ar-SA"/>
    </w:rPr>
  </w:style>
  <w:style w:type="character" w:customStyle="1" w:styleId="a5">
    <w:name w:val="Текст выноски Знак"/>
    <w:link w:val="a6"/>
    <w:qFormat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0"/>
    <w:qFormat/>
    <w:rsid w:val="00AD59E5"/>
    <w:rPr>
      <w:rFonts w:ascii="Arial" w:eastAsia="Arial" w:hAnsi="Arial" w:cs="Arial"/>
      <w:sz w:val="19"/>
      <w:szCs w:val="19"/>
    </w:rPr>
  </w:style>
  <w:style w:type="character" w:styleId="a8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1"/>
    <w:qFormat/>
    <w:rsid w:val="00A43125"/>
    <w:rPr>
      <w:b/>
      <w:bCs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a"/>
    <w:uiPriority w:val="1"/>
    <w:qFormat/>
    <w:rsid w:val="00A43125"/>
    <w:rPr>
      <w:sz w:val="28"/>
      <w:szCs w:val="28"/>
      <w:lang w:eastAsia="en-US"/>
    </w:rPr>
  </w:style>
  <w:style w:type="paragraph" w:customStyle="1" w:styleId="ab">
    <w:name w:val="Заголовок"/>
    <w:basedOn w:val="a"/>
    <w:next w:val="aa"/>
    <w:qFormat/>
    <w:rsid w:val="00557BA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A43125"/>
    <w:pPr>
      <w:widowControl w:val="0"/>
      <w:suppressAutoHyphens w:val="0"/>
    </w:pPr>
    <w:rPr>
      <w:sz w:val="28"/>
      <w:szCs w:val="28"/>
      <w:lang w:eastAsia="en-US"/>
    </w:rPr>
  </w:style>
  <w:style w:type="paragraph" w:styleId="ac">
    <w:name w:val="List"/>
    <w:basedOn w:val="aa"/>
    <w:rsid w:val="00557BA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57BA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557BAE"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  <w:rsid w:val="00557BAE"/>
  </w:style>
  <w:style w:type="paragraph" w:customStyle="1" w:styleId="Header">
    <w:name w:val="Header"/>
    <w:basedOn w:val="a"/>
    <w:link w:val="a3"/>
    <w:uiPriority w:val="99"/>
    <w:rsid w:val="00E514D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1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1309B5"/>
    <w:pPr>
      <w:widowControl w:val="0"/>
    </w:pPr>
    <w:rPr>
      <w:rFonts w:ascii="Courier New" w:hAnsi="Courier New" w:cs="Courier New"/>
    </w:rPr>
  </w:style>
  <w:style w:type="paragraph" w:styleId="a6">
    <w:name w:val="Balloon Text"/>
    <w:basedOn w:val="a"/>
    <w:link w:val="a5"/>
    <w:qFormat/>
    <w:rsid w:val="00BD0BC6"/>
    <w:rPr>
      <w:rFonts w:ascii="Tahoma" w:hAnsi="Tahoma"/>
      <w:sz w:val="16"/>
      <w:szCs w:val="16"/>
    </w:rPr>
  </w:style>
  <w:style w:type="paragraph" w:customStyle="1" w:styleId="10">
    <w:name w:val="Основной текст1"/>
    <w:basedOn w:val="a"/>
    <w:link w:val="a7"/>
    <w:qFormat/>
    <w:rsid w:val="00AD59E5"/>
    <w:pPr>
      <w:widowControl w:val="0"/>
      <w:suppressAutoHyphens w:val="0"/>
      <w:spacing w:after="460" w:line="268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qFormat/>
    <w:rsid w:val="00DE1F38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table" w:styleId="af0">
    <w:name w:val="Table Grid"/>
    <w:basedOn w:val="a1"/>
    <w:uiPriority w:val="59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snyluch.s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%23/document/70803770/entry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mo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document/redirect/186367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0925D-19CE-425A-AA29-AAF3E54D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953</Words>
  <Characters>5435</Characters>
  <Application>Microsoft Office Word</Application>
  <DocSecurity>0</DocSecurity>
  <Lines>45</Lines>
  <Paragraphs>12</Paragraphs>
  <ScaleCrop>false</ScaleCrop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dc:description/>
  <cp:lastModifiedBy>jkh</cp:lastModifiedBy>
  <cp:revision>58</cp:revision>
  <cp:lastPrinted>2025-01-28T11:46:00Z</cp:lastPrinted>
  <dcterms:created xsi:type="dcterms:W3CDTF">2024-10-15T13:19:00Z</dcterms:created>
  <dcterms:modified xsi:type="dcterms:W3CDTF">2025-01-29T09:46:00Z</dcterms:modified>
  <dc:language>ru-RU</dc:language>
</cp:coreProperties>
</file>