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pPr>
      <w:r>
        <w:rPr>
          <w:rFonts w:eastAsia="Times New Roman" w:cs="Times New Roman" w:ascii="Times New Roman" w:hAnsi="Times New Roman"/>
          <w:b/>
          <w:bCs/>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jc w:val="center"/>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pPr>
      <w:r>
        <w:rPr>
          <w:sz w:val="28"/>
          <w:szCs w:val="28"/>
        </w:rPr>
        <w:t>«</w:t>
      </w:r>
      <w:r>
        <w:rPr>
          <w:sz w:val="28"/>
          <w:szCs w:val="28"/>
        </w:rPr>
        <w:t>07</w:t>
      </w:r>
      <w:r>
        <w:rPr>
          <w:rFonts w:eastAsia="Calibri"/>
          <w:sz w:val="28"/>
          <w:szCs w:val="28"/>
        </w:rPr>
        <w:t xml:space="preserve">» </w:t>
      </w:r>
      <w:r>
        <w:rPr>
          <w:rFonts w:eastAsia="Calibri"/>
          <w:sz w:val="28"/>
          <w:szCs w:val="28"/>
        </w:rPr>
        <w:t xml:space="preserve">февраля </w:t>
      </w:r>
      <w:r>
        <w:rPr>
          <w:rFonts w:eastAsia="Calibri"/>
          <w:sz w:val="28"/>
          <w:szCs w:val="28"/>
        </w:rPr>
        <w:t>2025 года</w:t>
        <w:tab/>
        <w:tab/>
        <w:tab/>
        <w:tab/>
        <w:t xml:space="preserve">                                    № П-</w:t>
      </w:r>
      <w:r>
        <w:rPr>
          <w:rFonts w:eastAsia="Calibri"/>
          <w:sz w:val="28"/>
          <w:szCs w:val="28"/>
        </w:rPr>
        <w:t>66</w:t>
      </w:r>
      <w:r>
        <w:rPr>
          <w:rFonts w:eastAsia="Calibri"/>
          <w:sz w:val="28"/>
          <w:szCs w:val="28"/>
        </w:rPr>
        <w:t>/25</w:t>
      </w:r>
    </w:p>
    <w:p>
      <w:pPr>
        <w:pStyle w:val="Normal"/>
        <w:jc w:val="center"/>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07</w:t>
      </w:r>
      <w:r>
        <w:rPr>
          <w:sz w:val="28"/>
          <w:szCs w:val="28"/>
        </w:rPr>
        <w:t xml:space="preserve">» </w:t>
      </w:r>
      <w:r>
        <w:rPr>
          <w:sz w:val="28"/>
          <w:szCs w:val="28"/>
        </w:rPr>
        <w:t>февраля</w:t>
      </w:r>
      <w:r>
        <w:rPr>
          <w:sz w:val="28"/>
          <w:szCs w:val="28"/>
        </w:rPr>
        <w:t xml:space="preserve"> 2025 г.  № П-</w:t>
      </w:r>
      <w:r>
        <w:rPr>
          <w:sz w:val="28"/>
          <w:szCs w:val="28"/>
        </w:rPr>
        <w:t>66/</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Комсомольская, дом 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Конева,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17А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2Б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31А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56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56Б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62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83А</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Коняевская, дом 9Б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Коробчука, дом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Королева, дом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Короленко, дом 16А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Короленко, дом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Короленко,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Короткий, дом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Коцюбинского, дом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Коцюбинского, дом 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Коцюбинского, дом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Крайняя, дом 13А</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Красина, дом 15А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Красина,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Красногвардейская, дом 31Б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Красногвардейский, дом 2</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Краснодарская, дом 10Б</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Краснодарская, дом 30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Краснодарская, дом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Краснодарская,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Краснодарская, дом 63Г</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107А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128А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130А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142А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147А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155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37А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Краснодонская, дом 82А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Краснолучская,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Краснолучская, дом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1Б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Краснопролетарская, дом 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Красносельская, дом 126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Красносельская, дом 127А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Красносельская,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Красносельская, дом 38А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Красносельская, дом 85А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Красноярская, дом 2Б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Красноярская, дом 2Г</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Криничная,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Криничная, дом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93А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18А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28А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47А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64А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71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Крупской, дом 74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Кузнецова, дом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Кузнецова, дом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Кузнецова, дом 51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Куприна, дом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96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Леси Украинки,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Лазо, дом 72А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Лебедева -Кумача, дом 20А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Лебедева -Кумача, дом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Леваневского, дом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Леваневского, дом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11В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26А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34А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34А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36А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54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54А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19А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25А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54А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Лесная ЭМОС, дом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Лесная ЭМОС, дом 60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Литвинова, дом 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Ломоносова, дом 17А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Луганское шоссе, дом 2В</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Луганское шоссе,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Луначарского, дом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Луначарского, дом 29Б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Луначарского, дом 52Б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Лутугина, дом 22Б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Лучистая,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Марка Вовчка, дом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Магистральная, дом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Магистральная,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Майкопская, дом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Майкопская, дом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Макаренко, дом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Малидовского, дом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Малидовского, дом 49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Малидовского, дом 49А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Маршака, дом 20В</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Маршака,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Матросова, дом 41А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Матросова, дом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Матросова, дом 83А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Маяковского, дом 10А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Маяковского, дом 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Международная, дом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Менделеева, дом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Мечникова, дом 24А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Молодежная, дом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Молодежная, дом 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Молодежная, дом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Молодогвардейская,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10Б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Московская, дом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Набережная, дом 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Нагорная, дом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Нагорная, дом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Наркомовская, дом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18Б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Нахимова, дом 16Б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Нахимова,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Нахимова, дом 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Невельского, дом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Невский,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Невский, дом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Невский, дом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Невский, дом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Невский, дом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Некрасова,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Некрасова, дом 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Нестерова, дом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Нижний,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6В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Ногина, дом 1Г</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Ногина, дом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Олега Кошевого, дом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14А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19А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20А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20Е</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26А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28А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Оборонная, дом 28Б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октябрьская, дом 109А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Октябрьская, дом 125А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октябрьская, дом 109А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Октябрьская, дом 99Г</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Октябрьский,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Ольховая,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Осипенко, дом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Петровское, улица Первомайская, дом 1В</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17</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188</TotalTime>
  <Application>LibreOffice/7.6.7.2$Linux_X86_64 LibreOffice_project/60$Build-2</Application>
  <AppVersion>15.0000</AppVersion>
  <Pages>19</Pages>
  <Words>4610</Words>
  <Characters>28949</Characters>
  <CharactersWithSpaces>32851</CharactersWithSpaces>
  <Paragraphs>758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2025-01-22T11:27:55Z</cp:lastPrinted>
  <dcterms:modified xsi:type="dcterms:W3CDTF">2025-02-10T09:35:49Z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