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F2F2F2" w:themeColor="background1" w:themeShade="f2"/>
        </w:rPr>
      </w:pPr>
      <w:r>
        <w:rPr>
          <w:rFonts w:eastAsia="MS Mincho" w:cs="Times New Roman" w:ascii="Times New Roman" w:hAnsi="Times New Roman"/>
          <w:b w:val="false"/>
          <w:color w:val="F2F2F2" w:themeColor="background1" w:themeShade="f2"/>
          <w:sz w:val="16"/>
          <w:szCs w:val="16"/>
          <w:shd w:fill="FFFFFF"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right="140" w:hanging="0"/>
        <w:outlineLvl w:val="0"/>
        <w:rPr>
          <w:color w:val="000000"/>
        </w:rPr>
      </w:pPr>
      <w:r>
        <w:rPr>
          <w:rFonts w:eastAsia="MS Mincho" w:cs="Times New Roman" w:ascii="Times New Roman" w:hAnsi="Times New Roman"/>
          <w:color w:val="000000"/>
          <w:sz w:val="28"/>
          <w:szCs w:val="28"/>
        </w:rPr>
        <w:t>«15» мая 2025 г</w:t>
      </w:r>
      <w:r>
        <w:rPr>
          <w:rFonts w:eastAsia="MS Mincho" w:cs="Times New Roman" w:ascii="Times New Roman" w:hAnsi="Times New Roman"/>
          <w:i/>
          <w:color w:val="000000"/>
          <w:sz w:val="28"/>
          <w:szCs w:val="28"/>
        </w:rPr>
        <w:t>.</w:t>
        <w:tab/>
        <w:t xml:space="preserve">                                                                                 </w:t>
      </w:r>
      <w:r>
        <w:rPr>
          <w:rFonts w:eastAsia="MS Mincho" w:cs="Times New Roman" w:ascii="Times New Roman" w:hAnsi="Times New Roman"/>
          <w:color w:val="000000"/>
          <w:sz w:val="28"/>
          <w:szCs w:val="28"/>
        </w:rPr>
        <w:t>№ П - 249/25</w:t>
      </w:r>
    </w:p>
    <w:p>
      <w:pPr>
        <w:pStyle w:val="ConsPlusNormal"/>
        <w:numPr>
          <w:ilvl w:val="0"/>
          <w:numId w:val="0"/>
        </w:numPr>
        <w:ind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r>
        <w:rPr>
          <w:rFonts w:cs="Times New Roman" w:ascii="Times New Roman" w:hAnsi="Times New Roman"/>
          <w:color w:val="000000"/>
          <w:sz w:val="28"/>
          <w:szCs w:val="28"/>
        </w:rPr>
        <w:tab/>
        <w:tab/>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sz w:val="28"/>
          <w:szCs w:val="28"/>
        </w:rPr>
      </w:pPr>
      <w:r>
        <w:rPr>
          <w:rFonts w:cs="Times New Roman" w:ascii="Times New Roman" w:hAnsi="Times New Roman"/>
          <w:b/>
          <w:sz w:val="28"/>
          <w:szCs w:val="28"/>
        </w:rPr>
        <w:t>О заключении договора на размещение нестационарного торгового объекта с индивидуальным предпринимателем Шкилем С.Ф.</w:t>
      </w:r>
    </w:p>
    <w:p>
      <w:pPr>
        <w:pStyle w:val="14"/>
        <w:spacing w:lineRule="auto" w:line="240" w:before="0" w:after="0"/>
        <w:ind w:firstLine="709"/>
        <w:jc w:val="both"/>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w:t>
        <w:br/>
        <w:t xml:space="preserve">Народной   Республики от  08.11.2023  № 2      (с изменениями), Администрация </w:t>
      </w:r>
    </w:p>
    <w:p>
      <w:pPr>
        <w:pStyle w:val="14"/>
        <w:spacing w:before="0" w:after="0"/>
        <w:jc w:val="center"/>
        <w:rPr/>
      </w:pPr>
      <w:r>
        <w:rPr>
          <w:sz w:val="28"/>
          <w:szCs w:val="28"/>
        </w:rPr>
        <w:t>2</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1. Заключить договор на размещение нестационарного торгового объекта с индивидуальным предпринимателем Шкилем Сергеем Федоровичем по адресу: Луганская Народная Республика, г. Красный Луч, перекресток улиц  Магистральная и Шевченко (район «Дома Быта») сроком на 7 (семь) лет с 20.05.2025 по 19.05.2032 для осуществления розничной торговли продовольственными товарами (смешанного ассортимента).</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rFonts w:ascii="Times New Roman" w:hAnsi="Times New Roman" w:cs="Times New Roman"/>
          <w:sz w:val="28"/>
          <w:szCs w:val="28"/>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ind w:right="140" w:hanging="0"/>
        <w:rPr>
          <w:sz w:val="28"/>
          <w:szCs w:val="28"/>
        </w:rPr>
      </w:pPr>
      <w:r>
        <w:rPr>
          <w:sz w:val="28"/>
          <w:szCs w:val="28"/>
        </w:rPr>
        <w:t>Луганской Народной Республики</w:t>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bCs/>
          <w:color w:val="FF0000"/>
          <w:sz w:val="28"/>
          <w:szCs w:val="28"/>
        </w:rPr>
      </w:r>
    </w:p>
    <w:p>
      <w:pPr>
        <w:pStyle w:val="14"/>
        <w:shd w:val="clear" w:color="auto" w:fill="FFFFFF"/>
        <w:spacing w:before="0" w:after="0"/>
        <w:ind w:left="5103" w:hanging="0"/>
        <w:rPr>
          <w:bCs/>
          <w:color w:val="333333"/>
          <w:sz w:val="28"/>
          <w:szCs w:val="28"/>
        </w:rPr>
      </w:pPr>
      <w:r>
        <w:rPr>
          <w:bCs/>
          <w:color w:val="333333"/>
          <w:sz w:val="28"/>
          <w:szCs w:val="28"/>
        </w:rPr>
      </w:r>
    </w:p>
    <w:p>
      <w:pPr>
        <w:pStyle w:val="14"/>
        <w:shd w:val="clear" w:color="auto" w:fill="FFFFFF"/>
        <w:spacing w:before="0" w:after="0"/>
        <w:rPr>
          <w:bCs/>
          <w:color w:val="333333"/>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link w:val="11"/>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link w:val="BalloonTex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eastAsia="ru-RU" w:val="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eastAsia="ru-RU" w:val="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eastAsia="ru-RU" w:val="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eastAsia="ru-RU" w:val="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Header"/>
    <w:basedOn w:val="Normal"/>
    <w:link w:val="12"/>
    <w:uiPriority w:val="99"/>
    <w:semiHidden/>
    <w:unhideWhenUsed/>
    <w:rsid w:val="00de2f33"/>
    <w:pPr>
      <w:tabs>
        <w:tab w:val="clear" w:pos="708"/>
        <w:tab w:val="center" w:pos="4677" w:leader="none"/>
        <w:tab w:val="right" w:pos="9355" w:leader="none"/>
      </w:tabs>
    </w:pPr>
    <w:rPr/>
  </w:style>
  <w:style w:type="paragraph" w:styleId="Style23" w:customStyle="1">
    <w:name w:val="Footer"/>
    <w:basedOn w:val="Normal"/>
    <w:link w:val="13"/>
    <w:uiPriority w:val="99"/>
    <w:semiHidden/>
    <w:unhideWhenUsed/>
    <w:rsid w:val="00de2f33"/>
    <w:pPr>
      <w:tabs>
        <w:tab w:val="clear" w:pos="708"/>
        <w:tab w:val="center" w:pos="4677" w:leader="none"/>
        <w:tab w:val="right" w:pos="9355" w:leader="none"/>
      </w:tabs>
    </w:pPr>
    <w:rPr/>
  </w:style>
  <w:style w:type="paragraph" w:styleId="BalloonText">
    <w:name w:val="Balloon Text"/>
    <w:basedOn w:val="14"/>
    <w:link w:val="Style15"/>
    <w:uiPriority w:val="99"/>
    <w:semiHidden/>
    <w:unhideWhenUsed/>
    <w:qFormat/>
    <w:rsid w:val="004903d6"/>
    <w:pPr>
      <w:spacing w:lineRule="auto" w:line="240" w:before="0" w:after="0"/>
    </w:pPr>
    <w:rPr>
      <w:rFonts w:ascii="Tahoma" w:hAnsi="Tahoma" w:cs="Tahoma"/>
      <w:sz w:val="16"/>
      <w:szCs w:val="16"/>
    </w:rPr>
  </w:style>
  <w:style w:type="paragraph" w:styleId="Style24" w:customStyle="1">
    <w:name w:val="Верхний и нижний колонтитулы"/>
    <w:basedOn w:val="Normal"/>
    <w:qFormat/>
    <w:rsid w:val="00891bf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Application>LibreOffice/7.5.2.1$Linux_X86_64 LibreOffice_project/50$Build-1</Application>
  <AppVersion>15.0000</AppVersion>
  <Pages>2</Pages>
  <Words>403</Words>
  <Characters>3098</Characters>
  <CharactersWithSpaces>3603</CharactersWithSpaces>
  <Paragraphs>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2025-04-15T14:46:00Z</dcterms:created>
  <dc:creator>economy</dc:creator>
  <dc:description/>
  <dc:language>ru-RU</dc:language>
  <cp:lastModifiedBy/>
  <cp:lastPrinted>2025-03-25T11:56:00Z</cp:lastPrinted>
  <dcterms:modified xsi:type="dcterms:W3CDTF">2025-05-15T15:04:18Z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file>