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D06214">
        <w:trPr>
          <w:cantSplit/>
          <w:jc w:val="center"/>
        </w:trPr>
        <w:tc>
          <w:tcPr>
            <w:tcW w:w="468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1158CA" w:rsidP="00DA16EE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="00DA16EE">
              <w:rPr>
                <w:rFonts w:eastAsia="Lucida Sans Unicode"/>
                <w:u w:val="single"/>
                <w:lang w:eastAsia="ru-RU"/>
              </w:rPr>
              <w:t xml:space="preserve">  04 </w:t>
            </w:r>
            <w:r>
              <w:rPr>
                <w:rFonts w:eastAsia="Lucida Sans Unicode"/>
                <w:lang w:eastAsia="ru-RU"/>
              </w:rPr>
              <w:t>»</w:t>
            </w:r>
            <w:r w:rsidR="00DA16EE">
              <w:rPr>
                <w:rFonts w:eastAsia="Lucida Sans Unicode"/>
                <w:lang w:eastAsia="ru-RU"/>
              </w:rPr>
              <w:t xml:space="preserve"> </w:t>
            </w:r>
            <w:r w:rsidR="00DA16EE">
              <w:rPr>
                <w:rFonts w:eastAsia="Lucida Sans Unicode"/>
                <w:u w:val="single"/>
                <w:lang w:eastAsia="ru-RU"/>
              </w:rPr>
              <w:t>марта</w:t>
            </w:r>
            <w:r w:rsidR="00DA16EE">
              <w:rPr>
                <w:rFonts w:eastAsia="Lucida Sans Unicode"/>
                <w:lang w:eastAsia="ru-RU"/>
              </w:rPr>
              <w:t xml:space="preserve">  </w:t>
            </w:r>
            <w:r w:rsidRPr="00DA16EE">
              <w:rPr>
                <w:rFonts w:eastAsia="Lucida Sans Unicode"/>
                <w:u w:val="single"/>
                <w:lang w:eastAsia="ru-RU"/>
              </w:rPr>
              <w:t>202</w:t>
            </w:r>
            <w:r w:rsidR="00612106" w:rsidRPr="00DA16EE">
              <w:rPr>
                <w:rFonts w:eastAsia="Lucida Sans Unicode"/>
                <w:u w:val="singl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Pr="00DA16EE" w:rsidRDefault="00DA16EE" w:rsidP="00DA16EE">
            <w:pPr>
              <w:widowControl w:val="0"/>
              <w:rPr>
                <w:rFonts w:eastAsia="Lucida Sans Unicode"/>
                <w:u w:val="single"/>
                <w:lang w:eastAsia="ru-RU"/>
              </w:rPr>
            </w:pPr>
            <w:r w:rsidRPr="00DA16EE">
              <w:rPr>
                <w:rFonts w:eastAsia="Lucida Sans Unicode"/>
                <w:u w:val="single"/>
                <w:lang w:eastAsia="ru-RU"/>
              </w:rPr>
              <w:t>П-114/25</w:t>
            </w:r>
          </w:p>
        </w:tc>
      </w:tr>
    </w:tbl>
    <w:p w:rsidR="00D06214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b/>
          <w:lang w:eastAsia="ru-RU"/>
        </w:rPr>
      </w:pPr>
    </w:p>
    <w:p w:rsidR="00081138" w:rsidRPr="00081138" w:rsidRDefault="00081138" w:rsidP="00081138">
      <w:pPr>
        <w:jc w:val="center"/>
        <w:rPr>
          <w:b/>
        </w:rPr>
      </w:pPr>
      <w:r w:rsidRPr="00081138">
        <w:rPr>
          <w:b/>
        </w:rPr>
        <w:t>Об</w:t>
      </w:r>
      <w:r w:rsidRPr="00081138">
        <w:rPr>
          <w:b/>
          <w:spacing w:val="-10"/>
        </w:rPr>
        <w:t xml:space="preserve"> </w:t>
      </w:r>
      <w:r w:rsidRPr="00081138">
        <w:rPr>
          <w:b/>
        </w:rPr>
        <w:t>утверждении</w:t>
      </w:r>
      <w:r w:rsidRPr="00081138">
        <w:rPr>
          <w:b/>
          <w:spacing w:val="-10"/>
        </w:rPr>
        <w:t xml:space="preserve"> требований к закупаемым </w:t>
      </w:r>
      <w:r w:rsidRPr="00081138">
        <w:rPr>
          <w:b/>
          <w:spacing w:val="-8"/>
        </w:rPr>
        <w:t xml:space="preserve">Администрацией городского округа </w:t>
      </w:r>
      <w:r w:rsidRPr="00081138">
        <w:rPr>
          <w:b/>
        </w:rPr>
        <w:t>муниципальное образование городской округ город Красный Луч Луганской Народной Республики и подведомственными</w:t>
      </w:r>
      <w:r w:rsidRPr="00081138">
        <w:rPr>
          <w:b/>
          <w:spacing w:val="-5"/>
        </w:rPr>
        <w:t xml:space="preserve"> </w:t>
      </w:r>
      <w:r w:rsidRPr="00081138">
        <w:rPr>
          <w:b/>
        </w:rPr>
        <w:t>ей</w:t>
      </w:r>
      <w:r w:rsidRPr="00081138">
        <w:rPr>
          <w:b/>
          <w:spacing w:val="1"/>
        </w:rPr>
        <w:t xml:space="preserve"> муниципальными </w:t>
      </w:r>
      <w:r w:rsidRPr="00081138">
        <w:rPr>
          <w:b/>
        </w:rPr>
        <w:t>казенными</w:t>
      </w:r>
      <w:r w:rsidRPr="00081138">
        <w:rPr>
          <w:b/>
          <w:spacing w:val="-2"/>
        </w:rPr>
        <w:t xml:space="preserve"> </w:t>
      </w:r>
      <w:r w:rsidRPr="00081138">
        <w:rPr>
          <w:b/>
        </w:rPr>
        <w:t>учреждениями отдельным видам товаров, работ, услуг (в том числе предельных цен товаров, работ, услуг)</w:t>
      </w: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Pr="00081138" w:rsidRDefault="00081138" w:rsidP="00F9170E">
      <w:pPr>
        <w:pStyle w:val="ConsPlusTitlePag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138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</w:t>
      </w:r>
      <w:r w:rsidRPr="00081138">
        <w:rPr>
          <w:rFonts w:ascii="Times New Roman" w:hAnsi="Times New Roman" w:cs="Times New Roman"/>
          <w:spacing w:val="9"/>
          <w:sz w:val="28"/>
          <w:szCs w:val="28"/>
        </w:rPr>
        <w:t xml:space="preserve"> 0</w:t>
      </w:r>
      <w:r w:rsidRPr="00081138">
        <w:rPr>
          <w:rFonts w:ascii="Times New Roman" w:hAnsi="Times New Roman" w:cs="Times New Roman"/>
          <w:sz w:val="28"/>
          <w:szCs w:val="28"/>
        </w:rPr>
        <w:t>5</w:t>
      </w:r>
      <w:r w:rsidRPr="0008113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апреля</w:t>
      </w:r>
      <w:r w:rsidRPr="0008113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2013</w:t>
      </w:r>
      <w:r w:rsidRPr="0008113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г.</w:t>
      </w:r>
      <w:r w:rsidRPr="0008113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№</w:t>
      </w:r>
      <w:r w:rsidRPr="0008113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44-ФЗ</w:t>
      </w:r>
      <w:r w:rsidRPr="0008113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«О</w:t>
      </w:r>
      <w:r w:rsidRPr="0008113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контрактной</w:t>
      </w:r>
      <w:r w:rsidRPr="0008113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системе</w:t>
      </w:r>
      <w:r w:rsidRPr="0008113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в</w:t>
      </w:r>
      <w:r w:rsidRPr="0008113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сфере</w:t>
      </w:r>
      <w:r w:rsidRPr="0008113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закупок</w:t>
      </w:r>
      <w:r w:rsidRPr="0008113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товаров,</w:t>
      </w:r>
      <w:r w:rsidRPr="000811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работ,</w:t>
      </w:r>
      <w:r w:rsidRPr="000811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услуг</w:t>
      </w:r>
      <w:r w:rsidRPr="000811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для</w:t>
      </w:r>
      <w:r w:rsidRPr="000811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обеспечения</w:t>
      </w:r>
      <w:r w:rsidRPr="000811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811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и</w:t>
      </w:r>
      <w:r w:rsidRPr="000811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муниципальных нужд»,</w:t>
      </w:r>
      <w:r w:rsidRPr="000811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муниципальное образование городской округ город Красный Луч Луганской Народной Республики от 27 августа       2024 </w:t>
      </w:r>
      <w:r w:rsidRPr="00081138">
        <w:rPr>
          <w:rFonts w:ascii="Times New Roman" w:hAnsi="Times New Roman" w:cs="Times New Roman"/>
          <w:spacing w:val="-25"/>
          <w:sz w:val="28"/>
          <w:szCs w:val="28"/>
        </w:rPr>
        <w:t xml:space="preserve">г. № П-281/24 </w:t>
      </w:r>
      <w:r w:rsidRPr="00081138">
        <w:rPr>
          <w:rFonts w:ascii="Times New Roman" w:hAnsi="Times New Roman" w:cs="Times New Roman"/>
          <w:sz w:val="28"/>
          <w:szCs w:val="28"/>
        </w:rPr>
        <w:t>«</w:t>
      </w:r>
      <w:r w:rsidRPr="00081138">
        <w:rPr>
          <w:rFonts w:ascii="Times New Roman" w:hAnsi="Times New Roman" w:cs="Times New Roman"/>
          <w:bCs/>
          <w:sz w:val="28"/>
          <w:szCs w:val="28"/>
        </w:rPr>
        <w:t>Об утверждении Правил определения требований к закупаемым органами местного</w:t>
      </w:r>
      <w:proofErr w:type="gramEnd"/>
      <w:r w:rsidRPr="000811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81138">
        <w:rPr>
          <w:rFonts w:ascii="Times New Roman" w:hAnsi="Times New Roman" w:cs="Times New Roman"/>
          <w:bCs/>
          <w:sz w:val="28"/>
          <w:szCs w:val="28"/>
        </w:rPr>
        <w:t xml:space="preserve">самоуправления муниципального образования городской округ город Красный Луч Луганской Народной Республики и подведомственными им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 том числе предельных цен товаров, работ, услуг)», </w:t>
      </w:r>
      <w:r w:rsidRPr="00081138">
        <w:rPr>
          <w:rFonts w:ascii="Times New Roman" w:hAnsi="Times New Roman" w:cs="Times New Roman"/>
          <w:sz w:val="28"/>
          <w:szCs w:val="28"/>
        </w:rPr>
        <w:t>руководствуясь</w:t>
      </w:r>
      <w:r w:rsidRPr="000811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138">
        <w:rPr>
          <w:rFonts w:ascii="Times New Roman" w:hAnsi="Times New Roman" w:cs="Times New Roman"/>
          <w:sz w:val="28"/>
          <w:szCs w:val="28"/>
        </w:rPr>
        <w:t>Положением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</w:t>
      </w:r>
      <w:proofErr w:type="gramEnd"/>
      <w:r w:rsidRPr="00081138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от 08.11.2023 № 2 (с изменениями), а также в целях повышения эффективности бюджетных </w:t>
      </w:r>
      <w:r w:rsidRPr="00081138">
        <w:rPr>
          <w:rFonts w:ascii="Times New Roman" w:hAnsi="Times New Roman" w:cs="Times New Roman"/>
          <w:sz w:val="28"/>
          <w:szCs w:val="28"/>
        </w:rPr>
        <w:lastRenderedPageBreak/>
        <w:t>расходов и организации п</w:t>
      </w:r>
      <w:r w:rsidR="007E358E">
        <w:rPr>
          <w:rFonts w:ascii="Times New Roman" w:hAnsi="Times New Roman" w:cs="Times New Roman"/>
          <w:sz w:val="28"/>
          <w:szCs w:val="28"/>
        </w:rPr>
        <w:t>роцесса бюджетного планирования</w:t>
      </w:r>
      <w:r w:rsidR="00CF71DE">
        <w:rPr>
          <w:rFonts w:ascii="Times New Roman" w:hAnsi="Times New Roman" w:cs="Times New Roman"/>
          <w:sz w:val="28"/>
          <w:szCs w:val="28"/>
        </w:rPr>
        <w:t xml:space="preserve">, </w:t>
      </w:r>
      <w:r w:rsidR="00CF71DE" w:rsidRPr="00081138">
        <w:rPr>
          <w:rFonts w:ascii="Times New Roman" w:hAnsi="Times New Roman" w:cs="Times New Roman"/>
          <w:sz w:val="28"/>
          <w:szCs w:val="28"/>
        </w:rPr>
        <w:t>Администраци</w:t>
      </w:r>
      <w:r w:rsidR="00CF71DE">
        <w:rPr>
          <w:rFonts w:ascii="Times New Roman" w:hAnsi="Times New Roman" w:cs="Times New Roman"/>
          <w:sz w:val="28"/>
          <w:szCs w:val="28"/>
        </w:rPr>
        <w:t>я</w:t>
      </w:r>
      <w:r w:rsidR="00CF71DE" w:rsidRPr="00081138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</w:p>
    <w:p w:rsidR="009417F1" w:rsidRDefault="009417F1" w:rsidP="00F9170E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58E" w:rsidRDefault="007E358E" w:rsidP="00F9170E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214" w:rsidRDefault="00D06214" w:rsidP="00F9170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1418">
        <w:rPr>
          <w:b/>
        </w:rPr>
        <w:t>ПОСТАНОВЛЯЕТ:</w:t>
      </w:r>
    </w:p>
    <w:p w:rsidR="007E358E" w:rsidRDefault="007E358E" w:rsidP="00F9170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7E358E" w:rsidRDefault="007E358E" w:rsidP="00F9170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417F1" w:rsidRDefault="00ED16BB" w:rsidP="00F917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86">
        <w:rPr>
          <w:rFonts w:ascii="Times New Roman" w:hAnsi="Times New Roman" w:cs="Times New Roman"/>
          <w:sz w:val="28"/>
          <w:szCs w:val="28"/>
        </w:rPr>
        <w:t>1. Утвердить</w:t>
      </w:r>
      <w:r w:rsidR="00081138">
        <w:rPr>
          <w:rFonts w:ascii="Times New Roman" w:hAnsi="Times New Roman" w:cs="Times New Roman"/>
          <w:sz w:val="28"/>
          <w:szCs w:val="28"/>
        </w:rPr>
        <w:t xml:space="preserve"> требования к закупаемым отдельным видам товаров, работ, услуг (в том числе предельных цен товаров, работ, услуг) согласно приложению.</w:t>
      </w:r>
    </w:p>
    <w:p w:rsidR="00081138" w:rsidRDefault="00ED16BB" w:rsidP="00F9170E">
      <w:pPr>
        <w:spacing w:line="360" w:lineRule="auto"/>
        <w:ind w:firstLine="709"/>
        <w:jc w:val="both"/>
        <w:rPr>
          <w:lang w:eastAsia="ru-RU"/>
        </w:rPr>
      </w:pPr>
      <w:r w:rsidRPr="00112786">
        <w:t xml:space="preserve">2. </w:t>
      </w:r>
      <w:proofErr w:type="gramStart"/>
      <w:r w:rsidR="00081138">
        <w:t>Разместить</w:t>
      </w:r>
      <w:proofErr w:type="gramEnd"/>
      <w:r w:rsidR="00081138">
        <w:t xml:space="preserve"> </w:t>
      </w:r>
      <w:r w:rsidR="00081138" w:rsidRPr="0060007C">
        <w:t xml:space="preserve">настоящее постановление </w:t>
      </w:r>
      <w:r w:rsidR="00081138">
        <w:t xml:space="preserve">на </w:t>
      </w:r>
      <w:r w:rsidR="00081138" w:rsidRPr="0060007C">
        <w:t>официальном сайте Администрации городского округа муниципальное образование город</w:t>
      </w:r>
      <w:r w:rsidR="00081138">
        <w:t xml:space="preserve">ской округ город </w:t>
      </w:r>
      <w:r w:rsidR="00081138" w:rsidRPr="0060007C">
        <w:t xml:space="preserve">Красный Луч Луганской Народной Республики </w:t>
      </w:r>
      <w:r w:rsidR="00081138" w:rsidRPr="00A454AA">
        <w:rPr>
          <w:rFonts w:eastAsia="MS Mincho"/>
          <w:color w:val="000000"/>
        </w:rPr>
        <w:t>(</w:t>
      </w:r>
      <w:hyperlink r:id="rId9" w:history="1">
        <w:r w:rsidR="00081138" w:rsidRPr="00953EF8">
          <w:rPr>
            <w:rStyle w:val="a4"/>
            <w:rFonts w:eastAsia="MS Mincho"/>
          </w:rPr>
          <w:t>https://krasnyluch.su/</w:t>
        </w:r>
      </w:hyperlink>
      <w:r w:rsidR="00081138" w:rsidRPr="00A454AA">
        <w:rPr>
          <w:rFonts w:eastAsia="MS Mincho"/>
          <w:color w:val="000000"/>
        </w:rPr>
        <w:t>)</w:t>
      </w:r>
      <w:r w:rsidR="00081138">
        <w:rPr>
          <w:rFonts w:eastAsia="MS Mincho"/>
          <w:color w:val="000000"/>
        </w:rPr>
        <w:t xml:space="preserve"> и</w:t>
      </w:r>
      <w:r w:rsidR="00081138">
        <w:t xml:space="preserve"> на официальном сайте в Единой информационной сети (ЕИС)  </w:t>
      </w:r>
      <w:hyperlink r:id="rId10" w:history="1">
        <w:r w:rsidR="00081138" w:rsidRPr="00D662C0">
          <w:rPr>
            <w:rStyle w:val="a4"/>
            <w:rFonts w:eastAsia="MS Mincho"/>
          </w:rPr>
          <w:t>(</w:t>
        </w:r>
        <w:r w:rsidR="00081138" w:rsidRPr="00D662C0">
          <w:rPr>
            <w:rStyle w:val="a4"/>
          </w:rPr>
          <w:t>https://zakupki.gov.ru</w:t>
        </w:r>
      </w:hyperlink>
      <w:r w:rsidR="00081138">
        <w:rPr>
          <w:rFonts w:eastAsia="MS Mincho"/>
        </w:rPr>
        <w:t>/)</w:t>
      </w:r>
      <w:r w:rsidR="00081138" w:rsidRPr="009D52A4">
        <w:t xml:space="preserve"> </w:t>
      </w:r>
      <w:r w:rsidR="00081138" w:rsidRPr="0060007C">
        <w:t>в информационно</w:t>
      </w:r>
      <w:r w:rsidR="00081138">
        <w:t xml:space="preserve"> – теле</w:t>
      </w:r>
      <w:r w:rsidR="00081138" w:rsidRPr="00A454AA">
        <w:t>коммуникационной</w:t>
      </w:r>
      <w:r w:rsidR="00081138" w:rsidRPr="0060007C">
        <w:t xml:space="preserve"> </w:t>
      </w:r>
      <w:r w:rsidR="00081138" w:rsidRPr="00A454AA">
        <w:t>сети</w:t>
      </w:r>
      <w:r w:rsidR="00081138">
        <w:t xml:space="preserve"> </w:t>
      </w:r>
      <w:r w:rsidR="00081138" w:rsidRPr="00A454AA">
        <w:t>«Интернет».</w:t>
      </w:r>
    </w:p>
    <w:p w:rsidR="00081138" w:rsidRPr="00081138" w:rsidRDefault="00081138" w:rsidP="00F9170E">
      <w:pPr>
        <w:tabs>
          <w:tab w:val="left" w:pos="1134"/>
          <w:tab w:val="left" w:pos="9498"/>
        </w:tabs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1B5244">
        <w:rPr>
          <w:lang w:eastAsia="ru-RU"/>
        </w:rPr>
        <w:t xml:space="preserve">Настоящее постановление вступает в силу с момента его </w:t>
      </w:r>
      <w:r w:rsidR="002C6D12">
        <w:rPr>
          <w:lang w:eastAsia="ru-RU"/>
        </w:rPr>
        <w:t>подписания</w:t>
      </w:r>
      <w:r w:rsidRPr="00081138">
        <w:rPr>
          <w:lang w:eastAsia="ru-RU"/>
        </w:rPr>
        <w:t>.</w:t>
      </w:r>
    </w:p>
    <w:p w:rsidR="00D06214" w:rsidRPr="00081138" w:rsidRDefault="00081138" w:rsidP="00F917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08113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811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13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214" w:rsidRPr="006175DF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D06214" w:rsidRDefault="00D06214" w:rsidP="00D06214">
      <w:pPr>
        <w:autoSpaceDE w:val="0"/>
        <w:autoSpaceDN w:val="0"/>
        <w:adjustRightInd w:val="0"/>
        <w:ind w:firstLine="708"/>
        <w:outlineLvl w:val="0"/>
        <w:rPr>
          <w:bCs/>
          <w:iCs/>
        </w:rPr>
      </w:pPr>
    </w:p>
    <w:p w:rsidR="007E358E" w:rsidRPr="006175DF" w:rsidRDefault="007E358E" w:rsidP="00D06214">
      <w:pPr>
        <w:autoSpaceDE w:val="0"/>
        <w:autoSpaceDN w:val="0"/>
        <w:adjustRightInd w:val="0"/>
        <w:ind w:firstLine="708"/>
        <w:outlineLvl w:val="0"/>
        <w:rPr>
          <w:bCs/>
          <w:iCs/>
        </w:rPr>
      </w:pP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</w:t>
      </w:r>
      <w:r w:rsidRPr="0059424E">
        <w:rPr>
          <w:bCs/>
          <w:iCs/>
        </w:rPr>
        <w:t>лав</w:t>
      </w:r>
      <w:r>
        <w:rPr>
          <w:bCs/>
          <w:iCs/>
        </w:rPr>
        <w:t>а</w:t>
      </w:r>
      <w:r w:rsidRPr="0059424E">
        <w:rPr>
          <w:bCs/>
          <w:iCs/>
        </w:rPr>
        <w:t xml:space="preserve"> гор</w:t>
      </w:r>
      <w:r>
        <w:rPr>
          <w:bCs/>
          <w:iCs/>
        </w:rPr>
        <w:t>о</w:t>
      </w:r>
      <w:r w:rsidRPr="0059424E">
        <w:rPr>
          <w:bCs/>
          <w:iCs/>
        </w:rPr>
        <w:t>дского</w:t>
      </w:r>
      <w:r>
        <w:rPr>
          <w:bCs/>
          <w:iCs/>
        </w:rPr>
        <w:t xml:space="preserve"> округа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муниципальное образование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городской округ город Красный Луч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Луганской Народной Республики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С.В. Соловьев</w:t>
      </w:r>
    </w:p>
    <w:p w:rsidR="00B12090" w:rsidRDefault="00B12090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B12090" w:rsidRDefault="00B12090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B12090" w:rsidRDefault="00B12090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B12090" w:rsidRDefault="00B12090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sectPr w:rsidR="00B12090" w:rsidSect="00885BAC">
      <w:headerReference w:type="default" r:id="rId11"/>
      <w:headerReference w:type="first" r:id="rId12"/>
      <w:pgSz w:w="11906" w:h="16838"/>
      <w:pgMar w:top="567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A1" w:rsidRDefault="000B50A1" w:rsidP="00D06214">
      <w:r>
        <w:separator/>
      </w:r>
    </w:p>
  </w:endnote>
  <w:endnote w:type="continuationSeparator" w:id="1">
    <w:p w:rsidR="000B50A1" w:rsidRDefault="000B50A1" w:rsidP="00D0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A1" w:rsidRDefault="000B50A1" w:rsidP="00D06214">
      <w:r>
        <w:separator/>
      </w:r>
    </w:p>
  </w:footnote>
  <w:footnote w:type="continuationSeparator" w:id="1">
    <w:p w:rsidR="000B50A1" w:rsidRDefault="000B50A1" w:rsidP="00D0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F1" w:rsidRDefault="009417F1" w:rsidP="009417F1">
    <w:pPr>
      <w:pStyle w:val="af7"/>
      <w:jc w:val="center"/>
    </w:pPr>
  </w:p>
  <w:p w:rsidR="000B50A1" w:rsidRDefault="009417F1" w:rsidP="009417F1">
    <w:pPr>
      <w:pStyle w:val="af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8E" w:rsidRDefault="007E358E" w:rsidP="00D06214">
    <w:pPr>
      <w:pStyle w:val="af7"/>
      <w:jc w:val="right"/>
    </w:pPr>
  </w:p>
  <w:p w:rsidR="000B50A1" w:rsidRPr="00DA16EE" w:rsidRDefault="00081138" w:rsidP="00D06214">
    <w:pPr>
      <w:pStyle w:val="af7"/>
      <w:jc w:val="right"/>
      <w:rPr>
        <w:color w:val="FFFFFF" w:themeColor="background1"/>
      </w:rPr>
    </w:pPr>
    <w:r w:rsidRPr="00DA16EE">
      <w:rPr>
        <w:color w:val="FFFFFF" w:themeColor="background1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2F1386"/>
    <w:rsid w:val="00081138"/>
    <w:rsid w:val="000857D9"/>
    <w:rsid w:val="000B50A1"/>
    <w:rsid w:val="001158CA"/>
    <w:rsid w:val="001221D8"/>
    <w:rsid w:val="00142BB5"/>
    <w:rsid w:val="00157F3F"/>
    <w:rsid w:val="00193B9D"/>
    <w:rsid w:val="001D1C9A"/>
    <w:rsid w:val="00201B0C"/>
    <w:rsid w:val="002C6D12"/>
    <w:rsid w:val="002F1386"/>
    <w:rsid w:val="004742FF"/>
    <w:rsid w:val="004A1379"/>
    <w:rsid w:val="004E3535"/>
    <w:rsid w:val="0055547B"/>
    <w:rsid w:val="00612106"/>
    <w:rsid w:val="00673158"/>
    <w:rsid w:val="006975C4"/>
    <w:rsid w:val="006A57CC"/>
    <w:rsid w:val="00715D83"/>
    <w:rsid w:val="007E358E"/>
    <w:rsid w:val="00884F9F"/>
    <w:rsid w:val="00885BAC"/>
    <w:rsid w:val="008D650E"/>
    <w:rsid w:val="00920D47"/>
    <w:rsid w:val="009417F1"/>
    <w:rsid w:val="00983776"/>
    <w:rsid w:val="009A623D"/>
    <w:rsid w:val="009E1790"/>
    <w:rsid w:val="00B12090"/>
    <w:rsid w:val="00C7358B"/>
    <w:rsid w:val="00CD5E43"/>
    <w:rsid w:val="00CE62BE"/>
    <w:rsid w:val="00CF71DE"/>
    <w:rsid w:val="00D06214"/>
    <w:rsid w:val="00DA16EE"/>
    <w:rsid w:val="00DF5627"/>
    <w:rsid w:val="00E05FDE"/>
    <w:rsid w:val="00ED16BB"/>
    <w:rsid w:val="00F26B77"/>
    <w:rsid w:val="00F60A57"/>
    <w:rsid w:val="00F9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06214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Page">
    <w:name w:val="ConsPlusTitlePage"/>
    <w:rsid w:val="00D06214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</w:rPr>
  </w:style>
  <w:style w:type="paragraph" w:styleId="af7">
    <w:name w:val="header"/>
    <w:basedOn w:val="a"/>
    <w:link w:val="2"/>
    <w:uiPriority w:val="99"/>
    <w:unhideWhenUsed/>
    <w:rsid w:val="00D06214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D06214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D06214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D06214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(https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9EAD3-DD4C-4316-931E-9120AC7A4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 2</cp:lastModifiedBy>
  <cp:revision>4</cp:revision>
  <cp:lastPrinted>2025-02-21T12:00:00Z</cp:lastPrinted>
  <dcterms:created xsi:type="dcterms:W3CDTF">2025-02-21T12:47:00Z</dcterms:created>
  <dcterms:modified xsi:type="dcterms:W3CDTF">2025-03-04T12:47:00Z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